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87F171">
      <w:pPr>
        <w:pStyle w:val="5"/>
        <w:spacing w:line="480" w:lineRule="auto"/>
        <w:jc w:val="center"/>
        <w:rPr>
          <w:b/>
          <w:color w:val="auto"/>
          <w:sz w:val="24"/>
          <w:szCs w:val="24"/>
          <w:highlight w:val="none"/>
        </w:rPr>
      </w:pPr>
      <w:r>
        <w:rPr>
          <w:rFonts w:hint="eastAsia"/>
          <w:b/>
          <w:color w:val="auto"/>
          <w:sz w:val="24"/>
          <w:szCs w:val="24"/>
          <w:highlight w:val="none"/>
        </w:rPr>
        <w:t>参数与配置清单</w:t>
      </w:r>
    </w:p>
    <w:p w14:paraId="2D8C2654">
      <w:pPr>
        <w:tabs>
          <w:tab w:val="left" w:pos="180"/>
          <w:tab w:val="left" w:pos="1620"/>
        </w:tabs>
        <w:spacing w:line="360" w:lineRule="auto"/>
        <w:rPr>
          <w:rFonts w:hint="eastAsia" w:ascii="宋体" w:hAnsi="宋体" w:eastAsia="宋体"/>
          <w:color w:val="auto"/>
          <w:szCs w:val="21"/>
          <w:highlight w:val="none"/>
          <w:u w:val="single"/>
          <w:lang w:eastAsia="zh-CN"/>
        </w:rPr>
      </w:pPr>
      <w:r>
        <w:rPr>
          <w:rFonts w:hint="eastAsia" w:ascii="宋体" w:hAnsi="宋体"/>
          <w:color w:val="auto"/>
          <w:szCs w:val="21"/>
          <w:highlight w:val="none"/>
        </w:rPr>
        <w:t>一、采购项目编号：</w:t>
      </w:r>
      <w:r>
        <w:rPr>
          <w:rFonts w:hint="eastAsia" w:ascii="宋体" w:hAnsi="宋体"/>
          <w:color w:val="auto"/>
          <w:szCs w:val="21"/>
          <w:highlight w:val="none"/>
          <w:lang w:val="en-US" w:eastAsia="zh-CN"/>
        </w:rPr>
        <w:t>无</w:t>
      </w:r>
    </w:p>
    <w:p w14:paraId="67BDFC1B">
      <w:pPr>
        <w:tabs>
          <w:tab w:val="left" w:pos="180"/>
          <w:tab w:val="left" w:pos="1620"/>
        </w:tabs>
        <w:spacing w:line="360" w:lineRule="auto"/>
        <w:rPr>
          <w:rFonts w:ascii="宋体" w:hAnsi="宋体"/>
          <w:color w:val="auto"/>
          <w:szCs w:val="21"/>
          <w:highlight w:val="none"/>
        </w:rPr>
      </w:pPr>
      <w:r>
        <w:rPr>
          <w:rFonts w:hint="eastAsia" w:ascii="宋体" w:hAnsi="宋体"/>
          <w:color w:val="auto"/>
          <w:szCs w:val="21"/>
          <w:highlight w:val="none"/>
        </w:rPr>
        <w:t>二、采购项目类别：</w:t>
      </w:r>
      <w:r>
        <w:rPr>
          <w:rFonts w:hint="eastAsia" w:asciiTheme="minorEastAsia" w:hAnsiTheme="minorEastAsia" w:eastAsiaTheme="minorEastAsia"/>
          <w:color w:val="auto"/>
          <w:szCs w:val="21"/>
          <w:highlight w:val="none"/>
          <w:lang w:val="en-US" w:eastAsia="zh-CN"/>
        </w:rPr>
        <w:t>货物</w:t>
      </w:r>
      <w:r>
        <w:rPr>
          <w:rFonts w:hint="eastAsia" w:ascii="宋体" w:hAnsi="宋体"/>
          <w:color w:val="auto"/>
          <w:szCs w:val="21"/>
          <w:highlight w:val="none"/>
        </w:rPr>
        <w:t>类</w:t>
      </w:r>
    </w:p>
    <w:p w14:paraId="1DCD7BEB">
      <w:pPr>
        <w:tabs>
          <w:tab w:val="left" w:pos="180"/>
          <w:tab w:val="left" w:pos="1620"/>
        </w:tabs>
        <w:spacing w:line="360" w:lineRule="auto"/>
        <w:rPr>
          <w:rFonts w:ascii="宋体" w:hAnsi="宋体"/>
          <w:color w:val="auto"/>
          <w:szCs w:val="21"/>
          <w:highlight w:val="none"/>
        </w:rPr>
      </w:pPr>
      <w:r>
        <w:rPr>
          <w:rFonts w:hint="eastAsia"/>
          <w:color w:val="auto"/>
          <w:szCs w:val="21"/>
          <w:highlight w:val="none"/>
        </w:rPr>
        <w:t>三、</w:t>
      </w:r>
      <w:r>
        <w:rPr>
          <w:rFonts w:hint="eastAsia" w:ascii="宋体" w:hAnsi="宋体"/>
          <w:color w:val="auto"/>
          <w:szCs w:val="21"/>
          <w:highlight w:val="none"/>
        </w:rPr>
        <w:t>采购项目需求和说明</w:t>
      </w:r>
    </w:p>
    <w:p w14:paraId="31697A2A">
      <w:pPr>
        <w:widowControl/>
        <w:spacing w:line="360" w:lineRule="auto"/>
        <w:ind w:firstLine="411" w:firstLineChars="196"/>
        <w:jc w:val="left"/>
        <w:rPr>
          <w:rFonts w:hint="default" w:ascii="宋体" w:hAnsi="宋体" w:eastAsia="宋体"/>
          <w:bCs/>
          <w:color w:val="auto"/>
          <w:szCs w:val="21"/>
          <w:highlight w:val="none"/>
          <w:lang w:val="en-US" w:eastAsia="zh-CN"/>
        </w:rPr>
      </w:pPr>
      <w:r>
        <w:rPr>
          <w:rFonts w:hint="eastAsia" w:ascii="宋体" w:hAnsi="宋体"/>
          <w:bCs/>
          <w:color w:val="auto"/>
          <w:szCs w:val="21"/>
          <w:highlight w:val="none"/>
        </w:rPr>
        <w:t>1、</w:t>
      </w:r>
      <w:r>
        <w:rPr>
          <w:rFonts w:hint="eastAsia" w:ascii="宋体" w:hAnsi="宋体"/>
          <w:bCs/>
          <w:color w:val="auto"/>
          <w:szCs w:val="21"/>
          <w:highlight w:val="none"/>
          <w:lang w:val="en-US" w:eastAsia="zh-CN"/>
        </w:rPr>
        <w:t>项目上控价：144000.00元</w:t>
      </w:r>
    </w:p>
    <w:p w14:paraId="5AB3FDF5">
      <w:pPr>
        <w:widowControl/>
        <w:spacing w:line="360" w:lineRule="auto"/>
        <w:ind w:firstLine="411" w:firstLineChars="196"/>
        <w:jc w:val="left"/>
        <w:rPr>
          <w:rFonts w:ascii="宋体" w:hAnsi="宋体" w:cs="宋体"/>
          <w:color w:val="auto"/>
          <w:kern w:val="0"/>
          <w:szCs w:val="21"/>
          <w:highlight w:val="none"/>
        </w:rPr>
      </w:pPr>
      <w:r>
        <w:rPr>
          <w:rFonts w:hint="eastAsia" w:ascii="宋体" w:hAnsi="宋体"/>
          <w:lang w:val="en-US" w:eastAsia="zh-CN"/>
        </w:rPr>
        <w:t>2、</w:t>
      </w:r>
      <w:r>
        <w:rPr>
          <w:rFonts w:hint="eastAsia" w:ascii="宋体" w:hAnsi="宋体" w:cs="宋体"/>
          <w:color w:val="auto"/>
          <w:kern w:val="0"/>
          <w:szCs w:val="21"/>
          <w:highlight w:val="none"/>
        </w:rPr>
        <w:t>本需求一览表中标注</w:t>
      </w:r>
      <w:r>
        <w:rPr>
          <w:rFonts w:hint="default"/>
          <w:lang w:val="en-US" w:eastAsia="zh-CN"/>
        </w:rPr>
        <w:t>*</w:t>
      </w:r>
      <w:r>
        <w:rPr>
          <w:rFonts w:hint="eastAsia" w:ascii="宋体" w:hAnsi="宋体" w:cs="宋体"/>
          <w:color w:val="auto"/>
          <w:kern w:val="0"/>
          <w:szCs w:val="21"/>
          <w:highlight w:val="none"/>
        </w:rPr>
        <w:t>的内容为实质性要求和条件</w:t>
      </w:r>
      <w:r>
        <w:rPr>
          <w:rFonts w:hint="eastAsia" w:ascii="宋体" w:hAnsi="宋体" w:cs="宋体"/>
          <w:color w:val="auto"/>
          <w:kern w:val="0"/>
          <w:szCs w:val="21"/>
          <w:highlight w:val="none"/>
          <w:lang w:eastAsia="zh-CN"/>
        </w:rPr>
        <w:t>，不满足的作无效竞标处理。</w:t>
      </w:r>
    </w:p>
    <w:p w14:paraId="6CCD641C">
      <w:pPr>
        <w:keepNext w:val="0"/>
        <w:keepLines w:val="0"/>
        <w:pageBreakBefore w:val="0"/>
        <w:kinsoku/>
        <w:wordWrap/>
        <w:overflowPunct/>
        <w:topLinePunct w:val="0"/>
        <w:bidi w:val="0"/>
        <w:spacing w:before="60" w:after="60" w:line="460" w:lineRule="exact"/>
        <w:ind w:firstLine="420" w:firstLineChars="200"/>
        <w:rPr>
          <w:rFonts w:hint="default" w:ascii="宋体" w:hAnsi="宋体" w:eastAsia="宋体"/>
          <w:b/>
          <w:bCs/>
          <w:lang w:val="en-US" w:eastAsia="zh-CN"/>
        </w:rPr>
      </w:pPr>
      <w:r>
        <w:rPr>
          <w:rFonts w:hint="eastAsia" w:ascii="宋体" w:hAnsi="宋体"/>
          <w:lang w:val="en-US" w:eastAsia="zh-CN"/>
        </w:rPr>
        <w:t>3、需求</w:t>
      </w:r>
      <w:r>
        <w:rPr>
          <w:rFonts w:hint="eastAsia" w:ascii="宋体" w:hAnsi="宋体"/>
          <w:b/>
          <w:bCs/>
          <w:lang w:val="en-US" w:eastAsia="zh-CN"/>
        </w:rPr>
        <w:t>参数一览表</w:t>
      </w:r>
    </w:p>
    <w:tbl>
      <w:tblPr>
        <w:tblStyle w:val="10"/>
        <w:tblW w:w="10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3"/>
        <w:gridCol w:w="9027"/>
      </w:tblGrid>
      <w:tr w14:paraId="47E9F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613" w:type="dxa"/>
            <w:noWrap w:val="0"/>
            <w:vAlign w:val="top"/>
          </w:tcPr>
          <w:p w14:paraId="73751837">
            <w:pPr>
              <w:spacing w:line="320" w:lineRule="exact"/>
              <w:jc w:val="center"/>
              <w:rPr>
                <w:rFonts w:hint="eastAsia" w:ascii="仿宋_GB2312" w:hAnsi="宋体" w:eastAsia="仿宋_GB2312" w:cs="Arial"/>
                <w:color w:val="000000"/>
                <w:sz w:val="32"/>
                <w:szCs w:val="32"/>
                <w:lang w:val="en-US" w:eastAsia="zh-CN"/>
              </w:rPr>
            </w:pPr>
            <w:r>
              <w:rPr>
                <w:rFonts w:hint="eastAsia" w:ascii="宋体" w:hAnsi="宋体" w:cs="宋体"/>
                <w:sz w:val="24"/>
                <w:lang w:val="en-US" w:eastAsia="zh-CN"/>
              </w:rPr>
              <w:t>项目</w:t>
            </w:r>
            <w:r>
              <w:rPr>
                <w:rFonts w:hint="eastAsia" w:ascii="宋体" w:hAnsi="宋体" w:cs="宋体"/>
                <w:sz w:val="24"/>
              </w:rPr>
              <w:t>名称</w:t>
            </w:r>
          </w:p>
        </w:tc>
        <w:tc>
          <w:tcPr>
            <w:tcW w:w="9027" w:type="dxa"/>
            <w:noWrap w:val="0"/>
            <w:vAlign w:val="top"/>
          </w:tcPr>
          <w:p w14:paraId="20FFD285">
            <w:pPr>
              <w:spacing w:line="320" w:lineRule="exact"/>
              <w:jc w:val="center"/>
              <w:rPr>
                <w:rFonts w:hint="eastAsia" w:ascii="仿宋_GB2312" w:hAnsi="宋体" w:eastAsia="仿宋_GB2312" w:cs="Arial"/>
                <w:color w:val="000000"/>
                <w:sz w:val="32"/>
                <w:szCs w:val="32"/>
              </w:rPr>
            </w:pPr>
            <w:r>
              <w:rPr>
                <w:rFonts w:hint="eastAsia" w:ascii="宋体" w:hAnsi="宋体" w:eastAsia="宋体" w:cs="宋体"/>
                <w:sz w:val="24"/>
                <w:lang w:val="en-US" w:eastAsia="zh-CN"/>
              </w:rPr>
              <w:t>技术参数规格及配置要求</w:t>
            </w:r>
          </w:p>
        </w:tc>
      </w:tr>
      <w:tr w14:paraId="12DBC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3" w:type="dxa"/>
            <w:noWrap w:val="0"/>
            <w:vAlign w:val="top"/>
          </w:tcPr>
          <w:p w14:paraId="32642791">
            <w:pPr>
              <w:spacing w:line="320" w:lineRule="exact"/>
              <w:rPr>
                <w:rFonts w:hint="default" w:eastAsia="宋体"/>
                <w:lang w:val="en-US" w:eastAsia="zh-CN"/>
              </w:rPr>
            </w:pPr>
            <w:r>
              <w:rPr>
                <w:rFonts w:hint="default" w:eastAsia="宋体"/>
                <w:lang w:val="en-US" w:eastAsia="zh-CN"/>
              </w:rPr>
              <w:t>白内障超乳手柄</w:t>
            </w:r>
            <w:r>
              <w:rPr>
                <w:rFonts w:hint="default"/>
                <w:lang w:val="en-US" w:eastAsia="zh-CN"/>
              </w:rPr>
              <w:t>*</w:t>
            </w:r>
          </w:p>
        </w:tc>
        <w:tc>
          <w:tcPr>
            <w:tcW w:w="9027" w:type="dxa"/>
            <w:noWrap w:val="0"/>
            <w:vAlign w:val="top"/>
          </w:tcPr>
          <w:p w14:paraId="01431360">
            <w:pPr>
              <w:pStyle w:val="13"/>
              <w:numPr>
                <w:ilvl w:val="0"/>
                <w:numId w:val="0"/>
              </w:numPr>
              <w:rPr>
                <w:rFonts w:hint="default"/>
                <w:lang w:val="en-US" w:eastAsia="zh-CN"/>
              </w:rPr>
            </w:pPr>
            <w:r>
              <w:rPr>
                <w:rFonts w:hint="default"/>
                <w:lang w:val="en-US" w:eastAsia="zh-CN"/>
              </w:rPr>
              <w:t>1.超声频率:纵向40.5KHz-46.5KHz，扭转30KHz-32.5KHz。</w:t>
            </w:r>
          </w:p>
          <w:p w14:paraId="6102F674">
            <w:pPr>
              <w:pStyle w:val="13"/>
              <w:numPr>
                <w:ilvl w:val="0"/>
                <w:numId w:val="0"/>
              </w:numPr>
              <w:rPr>
                <w:rFonts w:hint="default"/>
                <w:lang w:val="en-US" w:eastAsia="zh-CN"/>
              </w:rPr>
            </w:pPr>
            <w:r>
              <w:rPr>
                <w:rFonts w:hint="default"/>
                <w:lang w:val="en-US" w:eastAsia="zh-CN"/>
              </w:rPr>
              <w:t>2.振幅:纵向83.8+17.8um，扭转68.6+22.9u m。</w:t>
            </w:r>
          </w:p>
          <w:p w14:paraId="78B341AC">
            <w:pPr>
              <w:pStyle w:val="13"/>
              <w:numPr>
                <w:ilvl w:val="0"/>
                <w:numId w:val="0"/>
              </w:numPr>
              <w:rPr>
                <w:rFonts w:hint="default"/>
                <w:lang w:val="en-US" w:eastAsia="zh-CN"/>
              </w:rPr>
            </w:pPr>
            <w:r>
              <w:rPr>
                <w:rFonts w:hint="default"/>
                <w:lang w:val="en-US" w:eastAsia="zh-CN"/>
              </w:rPr>
              <w:t>3.超声功率:纵向60W，允差士20%，扭转4W，允差士20%。</w:t>
            </w:r>
          </w:p>
          <w:p w14:paraId="221D9302">
            <w:pPr>
              <w:pStyle w:val="13"/>
              <w:numPr>
                <w:ilvl w:val="0"/>
                <w:numId w:val="0"/>
              </w:numPr>
              <w:rPr>
                <w:rFonts w:hint="default"/>
                <w:lang w:val="en-US" w:eastAsia="zh-CN"/>
              </w:rPr>
            </w:pPr>
            <w:r>
              <w:rPr>
                <w:rFonts w:hint="default"/>
                <w:lang w:val="en-US" w:eastAsia="zh-CN"/>
              </w:rPr>
              <w:t>4.脉冲频率范围:0-100pps，设置允差士10%。</w:t>
            </w:r>
          </w:p>
          <w:p w14:paraId="11568162">
            <w:pPr>
              <w:pStyle w:val="13"/>
              <w:numPr>
                <w:ilvl w:val="0"/>
                <w:numId w:val="0"/>
              </w:numPr>
              <w:rPr>
                <w:rFonts w:hint="default"/>
                <w:lang w:val="en-US" w:eastAsia="zh-CN"/>
              </w:rPr>
            </w:pPr>
            <w:r>
              <w:rPr>
                <w:rFonts w:hint="default"/>
                <w:lang w:val="en-US" w:eastAsia="zh-CN"/>
              </w:rPr>
              <w:t>5.脉冲宽度范围:20-500ms，设置允差士2ms(&lt;20ms)，士10%(&gt;20ms)。</w:t>
            </w:r>
          </w:p>
          <w:p w14:paraId="37719961">
            <w:pPr>
              <w:pStyle w:val="13"/>
              <w:numPr>
                <w:ilvl w:val="0"/>
                <w:numId w:val="0"/>
              </w:numPr>
              <w:rPr>
                <w:rFonts w:hint="default"/>
                <w:lang w:val="en-US" w:eastAsia="zh-CN"/>
              </w:rPr>
            </w:pPr>
            <w:r>
              <w:rPr>
                <w:rFonts w:hint="default"/>
                <w:lang w:val="en-US" w:eastAsia="zh-CN"/>
              </w:rPr>
              <w:t>6.抽吸速率范围:0-60cc/min，设置允差士3cc/min(≤30cc/min)，士10%(30cc/min)。</w:t>
            </w:r>
          </w:p>
          <w:p w14:paraId="538EC1AB">
            <w:pPr>
              <w:pStyle w:val="13"/>
              <w:numPr>
                <w:ilvl w:val="0"/>
                <w:numId w:val="0"/>
              </w:numPr>
              <w:rPr>
                <w:rFonts w:hint="default"/>
                <w:lang w:val="en-US" w:eastAsia="zh-CN"/>
              </w:rPr>
            </w:pPr>
            <w:r>
              <w:rPr>
                <w:rFonts w:hint="default"/>
                <w:lang w:val="en-US" w:eastAsia="zh-CN"/>
              </w:rPr>
              <w:t>7.真空调节范围:0-650mmHg，设置允差士30mmHg(≤300mmHg)，土10%(&gt;300mmHg)。</w:t>
            </w:r>
          </w:p>
          <w:p w14:paraId="32AB6EA1">
            <w:pPr>
              <w:pStyle w:val="13"/>
              <w:numPr>
                <w:ilvl w:val="0"/>
                <w:numId w:val="0"/>
              </w:numPr>
              <w:rPr>
                <w:rFonts w:hint="default"/>
                <w:lang w:val="en-US" w:eastAsia="zh-CN"/>
              </w:rPr>
            </w:pPr>
            <w:r>
              <w:rPr>
                <w:rFonts w:hint="default"/>
                <w:lang w:val="en-US" w:eastAsia="zh-CN"/>
              </w:rPr>
              <w:t>8.配置清单</w:t>
            </w:r>
          </w:p>
          <w:p w14:paraId="22572695">
            <w:pPr>
              <w:pStyle w:val="13"/>
              <w:numPr>
                <w:ilvl w:val="0"/>
                <w:numId w:val="0"/>
              </w:numPr>
              <w:rPr>
                <w:rFonts w:hint="default"/>
                <w:lang w:val="en-US" w:eastAsia="zh-CN"/>
              </w:rPr>
            </w:pPr>
            <w:r>
              <w:rPr>
                <w:rFonts w:hint="default"/>
                <w:lang w:val="en-US" w:eastAsia="zh-CN"/>
              </w:rPr>
              <w:t xml:space="preserve">白内障超乳手柄：2个 </w:t>
            </w:r>
          </w:p>
          <w:p w14:paraId="70E0F446">
            <w:pPr>
              <w:pStyle w:val="13"/>
              <w:numPr>
                <w:ilvl w:val="0"/>
                <w:numId w:val="0"/>
              </w:numPr>
              <w:rPr>
                <w:rFonts w:hint="default"/>
                <w:lang w:val="en-US" w:eastAsia="zh-CN"/>
              </w:rPr>
            </w:pPr>
            <w:r>
              <w:rPr>
                <w:rFonts w:hint="default"/>
                <w:lang w:val="en-US" w:eastAsia="zh-CN"/>
              </w:rPr>
              <w:t xml:space="preserve">I/A手柄：2个 </w:t>
            </w:r>
          </w:p>
          <w:p w14:paraId="1891F7BB">
            <w:pPr>
              <w:pStyle w:val="13"/>
              <w:numPr>
                <w:ilvl w:val="0"/>
                <w:numId w:val="0"/>
              </w:numPr>
              <w:rPr>
                <w:rFonts w:hint="default"/>
                <w:lang w:val="en-US" w:eastAsia="zh-CN"/>
              </w:rPr>
            </w:pPr>
            <w:r>
              <w:rPr>
                <w:rFonts w:hint="default"/>
                <w:lang w:val="en-US" w:eastAsia="zh-CN"/>
              </w:rPr>
              <w:t>I/A针头：2个</w:t>
            </w:r>
          </w:p>
          <w:p w14:paraId="0FD00497">
            <w:pPr>
              <w:pStyle w:val="13"/>
              <w:numPr>
                <w:ilvl w:val="0"/>
                <w:numId w:val="0"/>
              </w:numPr>
              <w:rPr>
                <w:rFonts w:hint="default"/>
                <w:lang w:val="en-US" w:eastAsia="zh-CN"/>
              </w:rPr>
            </w:pPr>
            <w:r>
              <w:rPr>
                <w:rFonts w:hint="default"/>
                <w:lang w:val="en-US" w:eastAsia="zh-CN"/>
              </w:rPr>
              <w:t>积液盒（含针头）：6个</w:t>
            </w:r>
          </w:p>
          <w:p w14:paraId="04CF1B36">
            <w:pPr>
              <w:pStyle w:val="13"/>
              <w:numPr>
                <w:ilvl w:val="0"/>
                <w:numId w:val="0"/>
              </w:numPr>
              <w:rPr>
                <w:rFonts w:hint="default"/>
                <w:lang w:val="en-US" w:eastAsia="zh-CN"/>
              </w:rPr>
            </w:pPr>
            <w:r>
              <w:rPr>
                <w:rFonts w:hint="default"/>
                <w:lang w:val="en-US" w:eastAsia="zh-CN"/>
              </w:rPr>
              <w:t>积液盒：6个</w:t>
            </w:r>
          </w:p>
        </w:tc>
      </w:tr>
      <w:tr w14:paraId="5E6BA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40" w:type="dxa"/>
            <w:gridSpan w:val="2"/>
            <w:noWrap w:val="0"/>
            <w:vAlign w:val="top"/>
          </w:tcPr>
          <w:p w14:paraId="18D8D26E">
            <w:pPr>
              <w:spacing w:line="360" w:lineRule="auto"/>
              <w:rPr>
                <w:rFonts w:hint="eastAsia"/>
                <w:kern w:val="0"/>
                <w:sz w:val="24"/>
                <w:szCs w:val="24"/>
              </w:rPr>
            </w:pPr>
            <w:r>
              <w:rPr>
                <w:rFonts w:hint="default" w:ascii="Times New Roman" w:hAnsi="Times New Roman" w:eastAsia="宋体" w:cs="Times New Roman"/>
                <w:b/>
                <w:sz w:val="24"/>
                <w:szCs w:val="24"/>
              </w:rPr>
              <w:t>*</w:t>
            </w:r>
            <w:r>
              <w:rPr>
                <w:rFonts w:hint="eastAsia" w:ascii="宋体" w:hAnsi="宋体" w:cs="宋体"/>
                <w:sz w:val="21"/>
                <w:szCs w:val="21"/>
              </w:rPr>
              <w:t>商务需求：</w:t>
            </w:r>
          </w:p>
        </w:tc>
      </w:tr>
      <w:tr w14:paraId="03B3E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3" w:type="dxa"/>
            <w:noWrap w:val="0"/>
            <w:vAlign w:val="center"/>
          </w:tcPr>
          <w:p w14:paraId="13B8466A">
            <w:pPr>
              <w:spacing w:line="480" w:lineRule="auto"/>
              <w:jc w:val="center"/>
              <w:rPr>
                <w:rFonts w:hint="eastAsia" w:ascii="宋体" w:hAnsi="宋体" w:cs="宋体"/>
                <w:sz w:val="21"/>
                <w:szCs w:val="21"/>
              </w:rPr>
            </w:pPr>
            <w:r>
              <w:rPr>
                <w:rFonts w:hint="eastAsia" w:ascii="宋体" w:hAnsi="宋体" w:cs="宋体"/>
                <w:sz w:val="21"/>
                <w:szCs w:val="21"/>
              </w:rPr>
              <w:t>合同签订期</w:t>
            </w:r>
          </w:p>
        </w:tc>
        <w:tc>
          <w:tcPr>
            <w:tcW w:w="9027" w:type="dxa"/>
            <w:noWrap w:val="0"/>
            <w:vAlign w:val="center"/>
          </w:tcPr>
          <w:p w14:paraId="5A6B25AB">
            <w:pPr>
              <w:jc w:val="left"/>
              <w:rPr>
                <w:rFonts w:hint="eastAsia" w:eastAsia="宋体"/>
                <w:kern w:val="0"/>
                <w:sz w:val="24"/>
                <w:szCs w:val="24"/>
                <w:lang w:eastAsia="zh-CN"/>
              </w:rPr>
            </w:pPr>
            <w:r>
              <w:rPr>
                <w:rFonts w:hint="eastAsia" w:ascii="宋体" w:cs="宋体"/>
                <w:sz w:val="21"/>
                <w:szCs w:val="21"/>
              </w:rPr>
              <w:t>自</w:t>
            </w:r>
            <w:r>
              <w:rPr>
                <w:rFonts w:hint="eastAsia" w:cs="宋体"/>
                <w:sz w:val="21"/>
                <w:szCs w:val="21"/>
                <w:lang w:val="en-US" w:eastAsia="zh-CN"/>
              </w:rPr>
              <w:t>发出成交公告之日</w:t>
            </w:r>
            <w:r>
              <w:rPr>
                <w:rFonts w:hint="eastAsia" w:ascii="宋体" w:cs="宋体"/>
                <w:sz w:val="21"/>
                <w:szCs w:val="21"/>
              </w:rPr>
              <w:t>起</w:t>
            </w:r>
            <w:r>
              <w:rPr>
                <w:rFonts w:hint="eastAsia" w:ascii="宋体" w:cs="宋体"/>
                <w:sz w:val="21"/>
                <w:szCs w:val="21"/>
                <w:lang w:val="en-US" w:eastAsia="zh-CN"/>
              </w:rPr>
              <w:t>二十五</w:t>
            </w:r>
            <w:r>
              <w:rPr>
                <w:rFonts w:hint="eastAsia" w:ascii="宋体" w:cs="宋体"/>
                <w:sz w:val="21"/>
                <w:szCs w:val="21"/>
              </w:rPr>
              <w:t>日内</w:t>
            </w:r>
            <w:r>
              <w:rPr>
                <w:rFonts w:hint="eastAsia" w:ascii="宋体" w:cs="宋体"/>
                <w:sz w:val="21"/>
                <w:szCs w:val="21"/>
                <w:lang w:eastAsia="zh-CN"/>
              </w:rPr>
              <w:t>。</w:t>
            </w:r>
          </w:p>
        </w:tc>
      </w:tr>
      <w:tr w14:paraId="3311B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3" w:type="dxa"/>
            <w:noWrap w:val="0"/>
            <w:vAlign w:val="top"/>
          </w:tcPr>
          <w:p w14:paraId="0AA74E6C">
            <w:pPr>
              <w:spacing w:line="480" w:lineRule="auto"/>
              <w:jc w:val="center"/>
              <w:rPr>
                <w:rFonts w:hint="eastAsia" w:ascii="宋体" w:hAnsi="宋体" w:cs="宋体"/>
                <w:sz w:val="21"/>
                <w:szCs w:val="21"/>
              </w:rPr>
            </w:pPr>
            <w:r>
              <w:rPr>
                <w:rFonts w:hint="eastAsia" w:ascii="宋体" w:hAnsi="宋体" w:cs="宋体"/>
                <w:sz w:val="21"/>
                <w:szCs w:val="21"/>
                <w:vertAlign w:val="baseline"/>
                <w:lang w:eastAsia="zh-CN"/>
              </w:rPr>
              <w:t>质保期</w:t>
            </w:r>
          </w:p>
        </w:tc>
        <w:tc>
          <w:tcPr>
            <w:tcW w:w="9027" w:type="dxa"/>
            <w:noWrap w:val="0"/>
            <w:vAlign w:val="center"/>
          </w:tcPr>
          <w:p w14:paraId="70655D13">
            <w:pPr>
              <w:spacing w:line="360" w:lineRule="exact"/>
              <w:rPr>
                <w:rFonts w:hint="eastAsia"/>
                <w:kern w:val="0"/>
                <w:sz w:val="24"/>
                <w:szCs w:val="24"/>
              </w:rPr>
            </w:pPr>
            <w:r>
              <w:rPr>
                <w:rFonts w:hint="default" w:ascii="宋体" w:hAnsi="宋体" w:eastAsia="宋体" w:cs="宋体"/>
                <w:b w:val="0"/>
                <w:bCs/>
                <w:sz w:val="21"/>
                <w:szCs w:val="21"/>
                <w:lang w:val="en-US" w:eastAsia="zh-CN"/>
              </w:rPr>
              <w:t>自交货验收合格之日起，保修两年，首年只换不修，第二年每个手柄免费维修一次。</w:t>
            </w:r>
            <w:r>
              <w:rPr>
                <w:rFonts w:hint="default" w:ascii="宋体" w:hAnsi="宋体" w:eastAsia="宋体" w:cs="宋体"/>
                <w:b w:val="0"/>
                <w:bCs/>
                <w:sz w:val="21"/>
                <w:szCs w:val="21"/>
                <w:lang w:val="en-US" w:eastAsia="zh-CN"/>
              </w:rPr>
              <w:t>质保期内定期对设备进行免费保养和维护（免费维修或更换配件），保修期内出现故障，需派出技术工程师到达现场处理故障，并承担一切费用。质保期后提供终身维修服务，其余按供应商提交的售后服务承诺书执行；所有非故意性损坏以及在要求质量标准范围内的正常使用造成的损坏均要免费维修。对因采购方人员的不正当使用所造成的损坏不归成交供应商负责保修，但</w:t>
            </w:r>
            <w:r>
              <w:rPr>
                <w:rFonts w:hint="eastAsia" w:ascii="宋体" w:hAnsi="宋体" w:eastAsia="宋体" w:cs="宋体"/>
                <w:b w:val="0"/>
                <w:bCs/>
                <w:sz w:val="21"/>
                <w:szCs w:val="21"/>
                <w:lang w:val="en-US" w:eastAsia="zh-CN"/>
              </w:rPr>
              <w:t>中标</w:t>
            </w:r>
            <w:r>
              <w:rPr>
                <w:rFonts w:hint="default" w:ascii="宋体" w:hAnsi="宋体" w:eastAsia="宋体" w:cs="宋体"/>
                <w:b w:val="0"/>
                <w:bCs/>
                <w:sz w:val="21"/>
                <w:szCs w:val="21"/>
                <w:lang w:val="en-US" w:eastAsia="zh-CN"/>
              </w:rPr>
              <w:t>供应商也要积极帮助采购人修理，并保证提供优惠价格的配件和服务。</w:t>
            </w:r>
          </w:p>
        </w:tc>
      </w:tr>
      <w:tr w14:paraId="3C18F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3" w:type="dxa"/>
            <w:noWrap w:val="0"/>
            <w:vAlign w:val="top"/>
          </w:tcPr>
          <w:p w14:paraId="738E8B87">
            <w:pPr>
              <w:keepNext w:val="0"/>
              <w:keepLines w:val="0"/>
              <w:pageBreakBefore w:val="0"/>
              <w:widowControl w:val="0"/>
              <w:kinsoku/>
              <w:wordWrap/>
              <w:overflowPunct/>
              <w:topLinePunct w:val="0"/>
              <w:autoSpaceDE/>
              <w:autoSpaceDN/>
              <w:bidi w:val="0"/>
              <w:adjustRightInd/>
              <w:snapToGrid/>
              <w:spacing w:line="1200" w:lineRule="auto"/>
              <w:jc w:val="center"/>
              <w:textAlignment w:val="auto"/>
              <w:rPr>
                <w:rFonts w:hint="eastAsia" w:ascii="宋体" w:hAnsi="宋体" w:cs="宋体"/>
                <w:sz w:val="21"/>
                <w:szCs w:val="21"/>
              </w:rPr>
            </w:pPr>
            <w:r>
              <w:rPr>
                <w:rFonts w:hint="eastAsia" w:ascii="宋体" w:hAnsi="宋体" w:cs="宋体"/>
                <w:sz w:val="21"/>
                <w:szCs w:val="21"/>
                <w:vertAlign w:val="baseline"/>
                <w:lang w:eastAsia="zh-CN"/>
              </w:rPr>
              <w:t>售后服务</w:t>
            </w:r>
            <w:r>
              <w:rPr>
                <w:rFonts w:hint="eastAsia" w:ascii="宋体" w:hAnsi="宋体" w:cs="宋体"/>
                <w:sz w:val="21"/>
                <w:szCs w:val="21"/>
                <w:vertAlign w:val="baseline"/>
                <w:lang w:val="en-US" w:eastAsia="zh-CN"/>
              </w:rPr>
              <w:t>需</w:t>
            </w:r>
            <w:r>
              <w:rPr>
                <w:rFonts w:hint="eastAsia" w:ascii="宋体" w:hAnsi="宋体" w:cs="宋体"/>
                <w:sz w:val="21"/>
                <w:szCs w:val="21"/>
                <w:vertAlign w:val="baseline"/>
                <w:lang w:eastAsia="zh-CN"/>
              </w:rPr>
              <w:t>求</w:t>
            </w:r>
          </w:p>
        </w:tc>
        <w:tc>
          <w:tcPr>
            <w:tcW w:w="9027" w:type="dxa"/>
            <w:noWrap w:val="0"/>
            <w:vAlign w:val="top"/>
          </w:tcPr>
          <w:p w14:paraId="39306962">
            <w:pPr>
              <w:pStyle w:val="2"/>
              <w:rPr>
                <w:rFonts w:hint="eastAsia"/>
                <w:kern w:val="0"/>
                <w:sz w:val="24"/>
                <w:szCs w:val="24"/>
              </w:rPr>
            </w:pPr>
            <w:r>
              <w:rPr>
                <w:rFonts w:hint="eastAsia" w:ascii="宋体" w:hAnsi="宋体" w:eastAsia="宋体" w:cs="宋体"/>
                <w:sz w:val="21"/>
                <w:szCs w:val="21"/>
                <w:vertAlign w:val="baseline"/>
              </w:rPr>
              <w:t>⑴按厂家承诺实行“三包”；⑵免费送货上门、免费安装调试合格；⑶在质保期内，采购人在使用过程中出现损坏的，成交供应商在接到甲方货物故障通知后2小时内响应，并于8小时内到达现场，24小时内排除故障。质保期外，只收配件成本费，免服务费；⑷每年至少一次定期回访、维修；⑸其余按厂家承诺进行。</w:t>
            </w:r>
          </w:p>
        </w:tc>
      </w:tr>
      <w:tr w14:paraId="66A10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3" w:type="dxa"/>
            <w:noWrap w:val="0"/>
            <w:vAlign w:val="top"/>
          </w:tcPr>
          <w:p w14:paraId="6841D706">
            <w:pPr>
              <w:jc w:val="center"/>
              <w:rPr>
                <w:rFonts w:ascii="宋体" w:cs="宋体"/>
                <w:sz w:val="21"/>
                <w:szCs w:val="21"/>
              </w:rPr>
            </w:pPr>
            <w:r>
              <w:rPr>
                <w:rFonts w:hint="eastAsia" w:ascii="宋体" w:hAnsi="宋体" w:cs="宋体"/>
                <w:sz w:val="21"/>
                <w:szCs w:val="21"/>
              </w:rPr>
              <w:t>交货期及交货</w:t>
            </w:r>
          </w:p>
          <w:p w14:paraId="7946A70E">
            <w:pPr>
              <w:jc w:val="center"/>
              <w:rPr>
                <w:rFonts w:hint="eastAsia" w:ascii="宋体" w:hAnsi="宋体" w:cs="宋体"/>
                <w:sz w:val="21"/>
                <w:szCs w:val="21"/>
              </w:rPr>
            </w:pPr>
            <w:r>
              <w:rPr>
                <w:rFonts w:hint="eastAsia" w:ascii="宋体" w:hAnsi="宋体" w:cs="宋体"/>
                <w:sz w:val="21"/>
                <w:szCs w:val="21"/>
              </w:rPr>
              <w:t>安装地点</w:t>
            </w:r>
          </w:p>
        </w:tc>
        <w:tc>
          <w:tcPr>
            <w:tcW w:w="9027" w:type="dxa"/>
            <w:noWrap w:val="0"/>
            <w:vAlign w:val="top"/>
          </w:tcPr>
          <w:p w14:paraId="12D21667">
            <w:pPr>
              <w:spacing w:line="340" w:lineRule="exact"/>
              <w:rPr>
                <w:sz w:val="21"/>
                <w:szCs w:val="21"/>
              </w:rPr>
            </w:pPr>
            <w:r>
              <w:rPr>
                <w:sz w:val="21"/>
                <w:szCs w:val="21"/>
              </w:rPr>
              <w:t>1</w:t>
            </w:r>
            <w:r>
              <w:rPr>
                <w:rFonts w:hint="eastAsia"/>
                <w:sz w:val="21"/>
                <w:szCs w:val="21"/>
              </w:rPr>
              <w:t>、交货期：自签订合同之日起</w:t>
            </w:r>
            <w:r>
              <w:rPr>
                <w:rFonts w:hint="eastAsia"/>
                <w:sz w:val="21"/>
                <w:szCs w:val="21"/>
                <w:lang w:val="en-US" w:eastAsia="zh-CN"/>
              </w:rPr>
              <w:t>15个工作</w:t>
            </w:r>
            <w:r>
              <w:rPr>
                <w:rFonts w:hint="eastAsia"/>
                <w:sz w:val="21"/>
                <w:szCs w:val="21"/>
              </w:rPr>
              <w:t>日内交货完毕。</w:t>
            </w:r>
          </w:p>
          <w:p w14:paraId="7EFD13B0">
            <w:pPr>
              <w:rPr>
                <w:rFonts w:hint="eastAsia"/>
                <w:kern w:val="0"/>
                <w:sz w:val="24"/>
                <w:szCs w:val="24"/>
              </w:rPr>
            </w:pPr>
            <w:r>
              <w:rPr>
                <w:sz w:val="21"/>
                <w:szCs w:val="21"/>
              </w:rPr>
              <w:t>2</w:t>
            </w:r>
            <w:r>
              <w:rPr>
                <w:rFonts w:hint="eastAsia"/>
                <w:sz w:val="21"/>
                <w:szCs w:val="21"/>
              </w:rPr>
              <w:t>、交货安装地点：南宁市内采购单位指定地点。</w:t>
            </w:r>
          </w:p>
        </w:tc>
      </w:tr>
      <w:tr w14:paraId="5613B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3" w:type="dxa"/>
            <w:noWrap w:val="0"/>
            <w:vAlign w:val="top"/>
          </w:tcPr>
          <w:p w14:paraId="7BC7BFB3">
            <w:pPr>
              <w:spacing w:line="480" w:lineRule="auto"/>
              <w:jc w:val="center"/>
              <w:rPr>
                <w:rFonts w:hint="eastAsia" w:ascii="宋体" w:hAnsi="宋体" w:cs="宋体"/>
                <w:sz w:val="21"/>
                <w:szCs w:val="21"/>
              </w:rPr>
            </w:pPr>
            <w:r>
              <w:rPr>
                <w:rFonts w:hint="eastAsia" w:ascii="宋体" w:hAnsi="宋体" w:cs="宋体"/>
                <w:color w:val="auto"/>
                <w:sz w:val="21"/>
                <w:szCs w:val="21"/>
              </w:rPr>
              <w:t>付款方式</w:t>
            </w:r>
          </w:p>
        </w:tc>
        <w:tc>
          <w:tcPr>
            <w:tcW w:w="9027" w:type="dxa"/>
            <w:noWrap w:val="0"/>
            <w:vAlign w:val="top"/>
          </w:tcPr>
          <w:p w14:paraId="14F80ADA">
            <w:pPr>
              <w:spacing w:line="400" w:lineRule="exact"/>
              <w:rPr>
                <w:rFonts w:hint="eastAsia" w:ascii="Times New Roman" w:hAnsi="Times New Roman" w:cs="Times New Roman"/>
                <w:color w:val="auto"/>
                <w:sz w:val="21"/>
                <w:szCs w:val="21"/>
              </w:rPr>
            </w:pPr>
            <w:r>
              <w:rPr>
                <w:rFonts w:hint="eastAsia" w:ascii="Times New Roman" w:hAnsi="Times New Roman" w:eastAsia="宋体" w:cs="Times New Roman"/>
                <w:sz w:val="21"/>
                <w:szCs w:val="21"/>
                <w:lang w:val="en-US" w:eastAsia="zh-CN"/>
              </w:rPr>
              <w:t>无预付款，供应商所有货物交货安装调试完毕并验收合格后，采购人凭供应商开具的全额发票，在60日内由采购人一次性支付合同总价（无息）。</w:t>
            </w:r>
            <w:bookmarkStart w:id="0" w:name="_GoBack"/>
            <w:bookmarkEnd w:id="0"/>
          </w:p>
        </w:tc>
      </w:tr>
      <w:tr w14:paraId="64103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613" w:type="dxa"/>
            <w:noWrap w:val="0"/>
            <w:vAlign w:val="top"/>
          </w:tcPr>
          <w:p w14:paraId="2B1D0FB3">
            <w:pPr>
              <w:spacing w:line="480" w:lineRule="auto"/>
              <w:jc w:val="center"/>
              <w:rPr>
                <w:rFonts w:hint="eastAsia" w:ascii="宋体" w:hAnsi="宋体" w:cs="宋体"/>
                <w:sz w:val="21"/>
                <w:szCs w:val="21"/>
              </w:rPr>
            </w:pPr>
            <w:r>
              <w:rPr>
                <w:rFonts w:hint="eastAsia" w:ascii="宋体" w:hAnsi="宋体" w:cs="宋体"/>
                <w:color w:val="auto"/>
                <w:sz w:val="21"/>
                <w:szCs w:val="21"/>
              </w:rPr>
              <w:t>供应</w:t>
            </w:r>
            <w:r>
              <w:rPr>
                <w:rFonts w:hint="eastAsia" w:ascii="宋体" w:hAnsi="宋体" w:cs="宋体"/>
                <w:sz w:val="21"/>
                <w:szCs w:val="21"/>
              </w:rPr>
              <w:t>商资格要求</w:t>
            </w:r>
          </w:p>
        </w:tc>
        <w:tc>
          <w:tcPr>
            <w:tcW w:w="9027" w:type="dxa"/>
            <w:noWrap w:val="0"/>
            <w:vAlign w:val="top"/>
          </w:tcPr>
          <w:p w14:paraId="1C0A1916">
            <w:pPr>
              <w:spacing w:line="400" w:lineRule="exact"/>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rPr>
              <w:t>国内注册（指按国家有关规定要求注册的）生产或经营本次招标采购货物，具备法人资格的供应商</w:t>
            </w:r>
            <w:r>
              <w:rPr>
                <w:rFonts w:hint="eastAsia" w:ascii="Times New Roman" w:hAnsi="Times New Roman" w:cs="Times New Roman"/>
                <w:color w:val="auto"/>
                <w:sz w:val="21"/>
                <w:szCs w:val="21"/>
                <w:lang w:eastAsia="zh-CN"/>
              </w:rPr>
              <w:t>。</w:t>
            </w:r>
          </w:p>
        </w:tc>
      </w:tr>
      <w:tr w14:paraId="3B9EA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3" w:type="dxa"/>
            <w:noWrap w:val="0"/>
            <w:vAlign w:val="top"/>
          </w:tcPr>
          <w:p w14:paraId="59462AC9">
            <w:pPr>
              <w:spacing w:line="720" w:lineRule="auto"/>
              <w:jc w:val="center"/>
              <w:rPr>
                <w:rFonts w:hint="eastAsia" w:ascii="宋体" w:hAnsi="宋体" w:cs="宋体"/>
                <w:sz w:val="21"/>
                <w:szCs w:val="21"/>
              </w:rPr>
            </w:pPr>
            <w:r>
              <w:rPr>
                <w:rFonts w:hint="eastAsia" w:ascii="宋体" w:hAnsi="宋体" w:cs="宋体"/>
                <w:color w:val="auto"/>
                <w:sz w:val="21"/>
                <w:szCs w:val="21"/>
              </w:rPr>
              <w:t>其他要求</w:t>
            </w:r>
          </w:p>
        </w:tc>
        <w:tc>
          <w:tcPr>
            <w:tcW w:w="9027" w:type="dxa"/>
            <w:noWrap w:val="0"/>
            <w:vAlign w:val="top"/>
          </w:tcPr>
          <w:p w14:paraId="79DEDC15">
            <w:pPr>
              <w:spacing w:line="400" w:lineRule="exact"/>
              <w:rPr>
                <w:bCs/>
                <w:color w:val="auto"/>
                <w:sz w:val="21"/>
                <w:szCs w:val="21"/>
              </w:rPr>
            </w:pPr>
            <w:r>
              <w:rPr>
                <w:color w:val="auto"/>
                <w:sz w:val="21"/>
                <w:szCs w:val="21"/>
              </w:rPr>
              <w:t>1</w:t>
            </w:r>
            <w:r>
              <w:rPr>
                <w:rFonts w:hint="eastAsia"/>
                <w:color w:val="auto"/>
                <w:sz w:val="21"/>
                <w:szCs w:val="21"/>
              </w:rPr>
              <w:t>、投标报价必须包括货物、随配附件、备品备件、工具、运抵指定交货地点安装、调试的各种费用和售后服务、税金及其他所有成本费用的总和。</w:t>
            </w:r>
          </w:p>
          <w:p w14:paraId="4B127E48">
            <w:pPr>
              <w:spacing w:line="400" w:lineRule="exact"/>
              <w:rPr>
                <w:bCs/>
                <w:color w:val="auto"/>
                <w:sz w:val="21"/>
                <w:szCs w:val="21"/>
              </w:rPr>
            </w:pPr>
            <w:r>
              <w:rPr>
                <w:color w:val="auto"/>
                <w:sz w:val="21"/>
                <w:szCs w:val="21"/>
              </w:rPr>
              <w:t>2</w:t>
            </w:r>
            <w:r>
              <w:rPr>
                <w:rFonts w:hint="eastAsia"/>
                <w:color w:val="auto"/>
                <w:sz w:val="21"/>
                <w:szCs w:val="21"/>
              </w:rPr>
              <w:t>、投标时应提供投标产品的中文性能参数指标彩页（含技术参数）或说明书（或技术白皮书）和产品详细配置清单（含技术参数），以供评审时核对。</w:t>
            </w:r>
          </w:p>
          <w:p w14:paraId="3D79BCC1">
            <w:pPr>
              <w:widowControl/>
              <w:spacing w:line="360" w:lineRule="exact"/>
              <w:jc w:val="left"/>
              <w:rPr>
                <w:color w:val="auto"/>
                <w:sz w:val="21"/>
                <w:szCs w:val="21"/>
              </w:rPr>
            </w:pPr>
            <w:r>
              <w:rPr>
                <w:color w:val="auto"/>
                <w:sz w:val="21"/>
                <w:szCs w:val="21"/>
              </w:rPr>
              <w:t>3</w:t>
            </w:r>
            <w:r>
              <w:rPr>
                <w:rFonts w:hint="eastAsia"/>
                <w:color w:val="auto"/>
                <w:sz w:val="21"/>
                <w:szCs w:val="21"/>
              </w:rPr>
              <w:t>、投标时请提供售后服务承诺书：明确保修期、故障响应时间、培训时间、售后服务技术人员名单和联系方式、保修期限外零配件若损坏，提供零配件优惠服务方案等。</w:t>
            </w:r>
          </w:p>
          <w:p w14:paraId="6C229910">
            <w:pPr>
              <w:widowControl/>
              <w:spacing w:line="360" w:lineRule="exact"/>
              <w:jc w:val="left"/>
              <w:rPr>
                <w:color w:val="auto"/>
                <w:sz w:val="21"/>
                <w:szCs w:val="21"/>
              </w:rPr>
            </w:pPr>
            <w:r>
              <w:rPr>
                <w:color w:val="auto"/>
                <w:sz w:val="21"/>
                <w:szCs w:val="21"/>
              </w:rPr>
              <w:t>4</w:t>
            </w:r>
            <w:r>
              <w:rPr>
                <w:rFonts w:hint="eastAsia"/>
                <w:color w:val="auto"/>
                <w:sz w:val="21"/>
                <w:szCs w:val="21"/>
              </w:rPr>
              <w:t>、投标人必须承诺设备</w:t>
            </w:r>
            <w:r>
              <w:rPr>
                <w:rFonts w:hint="eastAsia"/>
                <w:color w:val="auto"/>
                <w:sz w:val="21"/>
                <w:szCs w:val="21"/>
                <w:lang w:val="en-US" w:eastAsia="zh-CN"/>
              </w:rPr>
              <w:t>配件</w:t>
            </w:r>
            <w:r>
              <w:rPr>
                <w:rFonts w:hint="eastAsia"/>
                <w:color w:val="auto"/>
                <w:sz w:val="21"/>
                <w:szCs w:val="21"/>
              </w:rPr>
              <w:t>验收合格后免费对采购人的使用人员进行操作及相关知识的培训，并确保设备有</w:t>
            </w:r>
            <w:r>
              <w:rPr>
                <w:color w:val="auto"/>
                <w:sz w:val="21"/>
                <w:szCs w:val="21"/>
              </w:rPr>
              <w:t>1</w:t>
            </w:r>
            <w:r>
              <w:rPr>
                <w:rFonts w:hint="eastAsia"/>
                <w:color w:val="auto"/>
                <w:sz w:val="21"/>
                <w:szCs w:val="21"/>
              </w:rPr>
              <w:t>～</w:t>
            </w:r>
            <w:r>
              <w:rPr>
                <w:color w:val="auto"/>
                <w:sz w:val="21"/>
                <w:szCs w:val="21"/>
              </w:rPr>
              <w:t>2</w:t>
            </w:r>
            <w:r>
              <w:rPr>
                <w:rFonts w:hint="eastAsia"/>
                <w:color w:val="auto"/>
                <w:sz w:val="21"/>
                <w:szCs w:val="21"/>
              </w:rPr>
              <w:t>人能熟练使用设备</w:t>
            </w:r>
            <w:r>
              <w:rPr>
                <w:rFonts w:hint="eastAsia"/>
                <w:color w:val="auto"/>
                <w:sz w:val="21"/>
                <w:szCs w:val="21"/>
                <w:lang w:val="en-US" w:eastAsia="zh-CN"/>
              </w:rPr>
              <w:t>配件</w:t>
            </w:r>
            <w:r>
              <w:rPr>
                <w:rFonts w:hint="eastAsia"/>
                <w:color w:val="auto"/>
                <w:sz w:val="21"/>
                <w:szCs w:val="21"/>
              </w:rPr>
              <w:t>，并能排除简单的软硬件故障。</w:t>
            </w:r>
          </w:p>
          <w:p w14:paraId="5127265F">
            <w:pPr>
              <w:widowControl/>
              <w:spacing w:line="360" w:lineRule="exact"/>
              <w:jc w:val="left"/>
              <w:rPr>
                <w:color w:val="auto"/>
                <w:sz w:val="21"/>
                <w:szCs w:val="21"/>
              </w:rPr>
            </w:pPr>
            <w:r>
              <w:rPr>
                <w:color w:val="auto"/>
                <w:sz w:val="21"/>
                <w:szCs w:val="21"/>
              </w:rPr>
              <w:t>5</w:t>
            </w:r>
            <w:r>
              <w:rPr>
                <w:rFonts w:hint="eastAsia"/>
                <w:color w:val="auto"/>
                <w:sz w:val="21"/>
                <w:szCs w:val="21"/>
              </w:rPr>
              <w:t>、设备必须是全新、完整、未使用过的产品；设备到货后，供货商和购买方应在现场进行清点；清点过程中如果发现因包装或运输不当引起的仪器外观或内部的损坏，供货商应负责更换；若发现错发</w:t>
            </w:r>
            <w:r>
              <w:rPr>
                <w:color w:val="auto"/>
                <w:sz w:val="21"/>
                <w:szCs w:val="21"/>
              </w:rPr>
              <w:t>/</w:t>
            </w:r>
            <w:r>
              <w:rPr>
                <w:rFonts w:hint="eastAsia"/>
                <w:color w:val="auto"/>
                <w:sz w:val="21"/>
                <w:szCs w:val="21"/>
              </w:rPr>
              <w:t>漏发情况，供货商应负责更换和补发。</w:t>
            </w:r>
          </w:p>
          <w:p w14:paraId="4F0DDF75">
            <w:pPr>
              <w:widowControl/>
              <w:spacing w:line="360" w:lineRule="exact"/>
              <w:jc w:val="left"/>
              <w:rPr>
                <w:rFonts w:hint="eastAsia"/>
                <w:kern w:val="0"/>
                <w:sz w:val="24"/>
                <w:szCs w:val="24"/>
              </w:rPr>
            </w:pPr>
            <w:r>
              <w:rPr>
                <w:color w:val="auto"/>
                <w:sz w:val="21"/>
                <w:szCs w:val="21"/>
              </w:rPr>
              <w:t>6</w:t>
            </w:r>
            <w:r>
              <w:rPr>
                <w:rFonts w:hint="eastAsia"/>
                <w:color w:val="auto"/>
                <w:sz w:val="21"/>
                <w:szCs w:val="21"/>
              </w:rPr>
              <w:t>、安装标准及验收标准：符合我国国家有关技术规范和技术标准；设备安装后，医院按国际和国家标准及厂方标准进行质量验收；卖方应向买方提供详细的验收收标准。</w:t>
            </w:r>
          </w:p>
        </w:tc>
      </w:tr>
    </w:tbl>
    <w:p w14:paraId="11884F6E">
      <w:pPr>
        <w:pStyle w:val="5"/>
        <w:snapToGrid w:val="0"/>
        <w:spacing w:before="120" w:after="120"/>
        <w:jc w:val="center"/>
        <w:outlineLvl w:val="0"/>
        <w:rPr>
          <w:rFonts w:hint="eastAsia" w:hAnsi="宋体"/>
          <w:b/>
          <w:color w:val="auto"/>
          <w:sz w:val="44"/>
          <w:szCs w:val="44"/>
          <w:highlight w:val="none"/>
        </w:rPr>
      </w:pPr>
    </w:p>
    <w:p w14:paraId="4776D888"/>
    <w:sectPr>
      <w:headerReference r:id="rId3" w:type="default"/>
      <w:footerReference r:id="rId4" w:type="default"/>
      <w:footerReference r:id="rId5" w:type="even"/>
      <w:pgSz w:w="11906" w:h="16838"/>
      <w:pgMar w:top="1134" w:right="1134" w:bottom="1134" w:left="1134"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345793">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21</w:t>
    </w:r>
    <w:r>
      <w:fldChar w:fldCharType="end"/>
    </w:r>
  </w:p>
  <w:p w14:paraId="04E712C7">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DDC12">
    <w:pPr>
      <w:pStyle w:val="6"/>
      <w:framePr w:wrap="around" w:vAnchor="text" w:hAnchor="margin" w:xAlign="center" w:y="1"/>
      <w:rPr>
        <w:rStyle w:val="12"/>
      </w:rPr>
    </w:pPr>
    <w:r>
      <w:fldChar w:fldCharType="begin"/>
    </w:r>
    <w:r>
      <w:rPr>
        <w:rStyle w:val="12"/>
      </w:rPr>
      <w:instrText xml:space="preserve">PAGE  </w:instrText>
    </w:r>
    <w:r>
      <w:fldChar w:fldCharType="end"/>
    </w:r>
  </w:p>
  <w:p w14:paraId="1EA8BE27">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C0CAD">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hYzkwMDY5Mjk5NzU0NzQyYjc0NzIyMDdiYjFlYmYifQ=="/>
  </w:docVars>
  <w:rsids>
    <w:rsidRoot w:val="2F813630"/>
    <w:rsid w:val="09CC4DA2"/>
    <w:rsid w:val="1DC701B6"/>
    <w:rsid w:val="200B5822"/>
    <w:rsid w:val="26AA4F51"/>
    <w:rsid w:val="2F813630"/>
    <w:rsid w:val="34920629"/>
    <w:rsid w:val="4FDD5B0E"/>
    <w:rsid w:val="622B2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outlineLvl w:val="0"/>
    </w:pPr>
    <w:rPr>
      <w:b/>
      <w:bCs/>
      <w:kern w:val="44"/>
      <w:szCs w:val="44"/>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line="380" w:lineRule="exact"/>
    </w:pPr>
    <w:rPr>
      <w:sz w:val="24"/>
    </w:rPr>
  </w:style>
  <w:style w:type="paragraph" w:styleId="4">
    <w:name w:val="Normal Indent"/>
    <w:basedOn w:val="1"/>
    <w:qFormat/>
    <w:uiPriority w:val="0"/>
    <w:pPr>
      <w:ind w:firstLine="420"/>
    </w:pPr>
    <w:rPr>
      <w:szCs w:val="20"/>
    </w:rPr>
  </w:style>
  <w:style w:type="paragraph" w:styleId="5">
    <w:name w:val="Plain Text"/>
    <w:basedOn w:val="1"/>
    <w:qFormat/>
    <w:uiPriority w:val="0"/>
    <w:rPr>
      <w:rFonts w:ascii="宋体" w:hAnsi="Courier New" w:cs="Courier New"/>
      <w:szCs w:val="21"/>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pPr>
      <w:spacing w:before="120" w:after="120"/>
      <w:jc w:val="left"/>
    </w:pPr>
    <w:rPr>
      <w:rFonts w:ascii="Calibri" w:hAnsi="Calibri"/>
      <w:b/>
      <w:bCs/>
      <w:caps/>
      <w:sz w:val="20"/>
      <w:szCs w:val="20"/>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 w:type="paragraph" w:customStyle="1" w:styleId="13">
    <w:name w:val="列出段落1"/>
    <w:basedOn w:val="1"/>
    <w:autoRedefine/>
    <w:qFormat/>
    <w:uiPriority w:val="99"/>
    <w:pPr>
      <w:ind w:firstLine="420" w:firstLineChars="200"/>
    </w:pPr>
    <w:rPr>
      <w:rFonts w:ascii="Times New Roman" w:hAnsi="Times New Roman"/>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1754</Words>
  <Characters>1859</Characters>
  <Lines>0</Lines>
  <Paragraphs>0</Paragraphs>
  <TotalTime>0</TotalTime>
  <ScaleCrop>false</ScaleCrop>
  <LinksUpToDate>false</LinksUpToDate>
  <CharactersWithSpaces>1863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2024-11-15T09:48:00Z</dcterms:created>
  <dc:creator>wz</dc:creator>
  <cp:lastModifiedBy>微信用户</cp:lastModifiedBy>
  <dcterms:modified xsi:type="dcterms:W3CDTF">2025-09-28T03:24:19Z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A594B94CF32745A9AD8865A8DCF620CF_11</vt:lpwstr>
  </property>
  <property fmtid="{D5CDD505-2E9C-101B-9397-08002B2CF9AE}" pid="4" name="KSOTemplateDocerSaveRecord">
    <vt:lpwstr>eyJoZGlkIjoiMTFhYzkwMDY5Mjk5NzU0NzQyYjc0NzIyMDdiYjFlYmYiLCJ1c2VySWQiOiIxMjEzMjIzNTI5In0=</vt:lpwstr>
  </property>
</Properties>
</file>