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87F171">
      <w:pPr>
        <w:pStyle w:val="5"/>
        <w:spacing w:line="480" w:lineRule="auto"/>
        <w:jc w:val="center"/>
        <w:rPr>
          <w:b/>
          <w:color w:val="auto"/>
          <w:sz w:val="24"/>
          <w:szCs w:val="24"/>
          <w:highlight w:val="none"/>
        </w:rPr>
      </w:pPr>
      <w:r>
        <w:rPr>
          <w:rFonts w:hint="eastAsia"/>
          <w:b/>
          <w:color w:val="auto"/>
          <w:sz w:val="24"/>
          <w:szCs w:val="24"/>
          <w:highlight w:val="none"/>
        </w:rPr>
        <w:t>参数与配置清单</w:t>
      </w:r>
    </w:p>
    <w:p w14:paraId="2D8C2654">
      <w:pPr>
        <w:tabs>
          <w:tab w:val="left" w:pos="180"/>
          <w:tab w:val="left" w:pos="1620"/>
        </w:tabs>
        <w:spacing w:line="360" w:lineRule="auto"/>
        <w:rPr>
          <w:rFonts w:hint="eastAsia" w:ascii="宋体" w:hAnsi="宋体" w:eastAsia="宋体"/>
          <w:color w:val="auto"/>
          <w:szCs w:val="21"/>
          <w:highlight w:val="none"/>
          <w:u w:val="single"/>
          <w:lang w:eastAsia="zh-CN"/>
        </w:rPr>
      </w:pPr>
      <w:r>
        <w:rPr>
          <w:rFonts w:hint="eastAsia" w:ascii="宋体" w:hAnsi="宋体"/>
          <w:color w:val="auto"/>
          <w:szCs w:val="21"/>
          <w:highlight w:val="none"/>
        </w:rPr>
        <w:t>一、采购项目编号：</w:t>
      </w:r>
      <w:r>
        <w:rPr>
          <w:rFonts w:hint="eastAsia" w:ascii="宋体" w:hAnsi="宋体"/>
          <w:color w:val="auto"/>
          <w:szCs w:val="21"/>
          <w:highlight w:val="none"/>
          <w:lang w:val="en-US" w:eastAsia="zh-CN"/>
        </w:rPr>
        <w:t>无</w:t>
      </w:r>
    </w:p>
    <w:p w14:paraId="67BDFC1B">
      <w:pPr>
        <w:tabs>
          <w:tab w:val="left" w:pos="180"/>
          <w:tab w:val="left" w:pos="1620"/>
        </w:tabs>
        <w:spacing w:line="360" w:lineRule="auto"/>
        <w:rPr>
          <w:rFonts w:ascii="宋体" w:hAnsi="宋体"/>
          <w:color w:val="auto"/>
          <w:szCs w:val="21"/>
          <w:highlight w:val="none"/>
        </w:rPr>
      </w:pPr>
      <w:r>
        <w:rPr>
          <w:rFonts w:hint="eastAsia" w:ascii="宋体" w:hAnsi="宋体"/>
          <w:color w:val="auto"/>
          <w:szCs w:val="21"/>
          <w:highlight w:val="none"/>
        </w:rPr>
        <w:t>二、采购项目类别：</w:t>
      </w:r>
      <w:r>
        <w:rPr>
          <w:rFonts w:hint="eastAsia" w:asciiTheme="minorEastAsia" w:hAnsiTheme="minorEastAsia" w:eastAsiaTheme="minorEastAsia"/>
          <w:color w:val="auto"/>
          <w:szCs w:val="21"/>
          <w:highlight w:val="none"/>
          <w:lang w:val="en-US" w:eastAsia="zh-CN"/>
        </w:rPr>
        <w:t>货物</w:t>
      </w:r>
      <w:r>
        <w:rPr>
          <w:rFonts w:hint="eastAsia" w:ascii="宋体" w:hAnsi="宋体"/>
          <w:color w:val="auto"/>
          <w:szCs w:val="21"/>
          <w:highlight w:val="none"/>
        </w:rPr>
        <w:t>类</w:t>
      </w:r>
    </w:p>
    <w:p w14:paraId="1DCD7BEB">
      <w:pPr>
        <w:tabs>
          <w:tab w:val="left" w:pos="180"/>
          <w:tab w:val="left" w:pos="1620"/>
        </w:tabs>
        <w:spacing w:line="360" w:lineRule="auto"/>
        <w:rPr>
          <w:rFonts w:ascii="宋体" w:hAnsi="宋体"/>
          <w:color w:val="auto"/>
          <w:szCs w:val="21"/>
          <w:highlight w:val="none"/>
        </w:rPr>
      </w:pPr>
      <w:r>
        <w:rPr>
          <w:rFonts w:hint="eastAsia"/>
          <w:color w:val="auto"/>
          <w:szCs w:val="21"/>
          <w:highlight w:val="none"/>
        </w:rPr>
        <w:t>三、</w:t>
      </w:r>
      <w:r>
        <w:rPr>
          <w:rFonts w:hint="eastAsia" w:ascii="宋体" w:hAnsi="宋体"/>
          <w:color w:val="auto"/>
          <w:szCs w:val="21"/>
          <w:highlight w:val="none"/>
        </w:rPr>
        <w:t>采购项目需求和说明</w:t>
      </w:r>
    </w:p>
    <w:p w14:paraId="31697A2A">
      <w:pPr>
        <w:widowControl/>
        <w:spacing w:line="360" w:lineRule="auto"/>
        <w:ind w:firstLine="411" w:firstLineChars="196"/>
        <w:jc w:val="left"/>
        <w:rPr>
          <w:rFonts w:hint="default" w:ascii="宋体" w:hAnsi="宋体" w:eastAsia="宋体"/>
          <w:bCs/>
          <w:color w:val="auto"/>
          <w:szCs w:val="21"/>
          <w:highlight w:val="none"/>
          <w:lang w:val="en-US" w:eastAsia="zh-CN"/>
        </w:rPr>
      </w:pPr>
      <w:r>
        <w:rPr>
          <w:rFonts w:hint="eastAsia" w:ascii="宋体" w:hAnsi="宋体"/>
          <w:bCs/>
          <w:color w:val="auto"/>
          <w:szCs w:val="21"/>
          <w:highlight w:val="none"/>
        </w:rPr>
        <w:t>1、</w:t>
      </w:r>
      <w:r>
        <w:rPr>
          <w:rFonts w:hint="eastAsia" w:ascii="宋体" w:hAnsi="宋体"/>
          <w:bCs/>
          <w:color w:val="auto"/>
          <w:szCs w:val="21"/>
          <w:highlight w:val="none"/>
          <w:lang w:val="en-US" w:eastAsia="zh-CN"/>
        </w:rPr>
        <w:t>项目上控价：70000.00元</w:t>
      </w:r>
    </w:p>
    <w:p w14:paraId="5AB3FDF5">
      <w:pPr>
        <w:widowControl/>
        <w:spacing w:line="360" w:lineRule="auto"/>
        <w:ind w:firstLine="411" w:firstLineChars="196"/>
        <w:jc w:val="left"/>
        <w:rPr>
          <w:rFonts w:ascii="宋体" w:hAnsi="宋体" w:cs="宋体"/>
          <w:color w:val="auto"/>
          <w:kern w:val="0"/>
          <w:szCs w:val="21"/>
          <w:highlight w:val="none"/>
        </w:rPr>
      </w:pPr>
      <w:r>
        <w:rPr>
          <w:rFonts w:hint="eastAsia" w:ascii="宋体" w:hAnsi="宋体"/>
          <w:lang w:val="en-US" w:eastAsia="zh-CN"/>
        </w:rPr>
        <w:t>2、</w:t>
      </w:r>
      <w:r>
        <w:rPr>
          <w:rFonts w:hint="eastAsia" w:ascii="宋体" w:hAnsi="宋体" w:cs="宋体"/>
          <w:color w:val="auto"/>
          <w:kern w:val="0"/>
          <w:szCs w:val="21"/>
          <w:highlight w:val="none"/>
        </w:rPr>
        <w:t>本需求一览表中标注</w:t>
      </w:r>
      <w:r>
        <w:rPr>
          <w:rFonts w:hint="default"/>
          <w:lang w:val="en-US" w:eastAsia="zh-CN"/>
        </w:rPr>
        <w:t>*</w:t>
      </w:r>
      <w:r>
        <w:rPr>
          <w:rFonts w:hint="eastAsia" w:ascii="宋体" w:hAnsi="宋体" w:cs="宋体"/>
          <w:color w:val="auto"/>
          <w:kern w:val="0"/>
          <w:szCs w:val="21"/>
          <w:highlight w:val="none"/>
        </w:rPr>
        <w:t>的内容为实质性要求和条件</w:t>
      </w:r>
      <w:r>
        <w:rPr>
          <w:rFonts w:hint="eastAsia" w:ascii="宋体" w:hAnsi="宋体" w:cs="宋体"/>
          <w:color w:val="auto"/>
          <w:kern w:val="0"/>
          <w:szCs w:val="21"/>
          <w:highlight w:val="none"/>
          <w:lang w:eastAsia="zh-CN"/>
        </w:rPr>
        <w:t>，不满足的作无效竞标处理。</w:t>
      </w:r>
    </w:p>
    <w:p w14:paraId="6CCD641C">
      <w:pPr>
        <w:keepNext w:val="0"/>
        <w:keepLines w:val="0"/>
        <w:pageBreakBefore w:val="0"/>
        <w:kinsoku/>
        <w:wordWrap/>
        <w:overflowPunct/>
        <w:topLinePunct w:val="0"/>
        <w:bidi w:val="0"/>
        <w:spacing w:before="60" w:after="60" w:line="460" w:lineRule="exact"/>
        <w:ind w:firstLine="420" w:firstLineChars="200"/>
        <w:rPr>
          <w:rFonts w:hint="default" w:ascii="宋体" w:hAnsi="宋体" w:eastAsia="宋体"/>
          <w:b/>
          <w:bCs/>
          <w:lang w:val="en-US" w:eastAsia="zh-CN"/>
        </w:rPr>
      </w:pPr>
      <w:r>
        <w:rPr>
          <w:rFonts w:hint="eastAsia" w:ascii="宋体" w:hAnsi="宋体"/>
          <w:lang w:val="en-US" w:eastAsia="zh-CN"/>
        </w:rPr>
        <w:t>3、需求</w:t>
      </w:r>
      <w:r>
        <w:rPr>
          <w:rFonts w:hint="eastAsia" w:ascii="宋体" w:hAnsi="宋体"/>
          <w:b/>
          <w:bCs/>
          <w:lang w:val="en-US" w:eastAsia="zh-CN"/>
        </w:rPr>
        <w:t>参数一览表</w:t>
      </w:r>
    </w:p>
    <w:tbl>
      <w:tblPr>
        <w:tblStyle w:val="10"/>
        <w:tblW w:w="10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3"/>
        <w:gridCol w:w="9027"/>
      </w:tblGrid>
      <w:tr w14:paraId="47E9F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613" w:type="dxa"/>
            <w:noWrap w:val="0"/>
            <w:vAlign w:val="top"/>
          </w:tcPr>
          <w:p w14:paraId="73751837">
            <w:pPr>
              <w:spacing w:line="320" w:lineRule="exact"/>
              <w:jc w:val="center"/>
              <w:rPr>
                <w:rFonts w:hint="eastAsia" w:ascii="仿宋_GB2312" w:hAnsi="宋体" w:eastAsia="仿宋_GB2312" w:cs="Arial"/>
                <w:color w:val="000000"/>
                <w:sz w:val="32"/>
                <w:szCs w:val="32"/>
                <w:lang w:val="en-US" w:eastAsia="zh-CN"/>
              </w:rPr>
            </w:pPr>
            <w:r>
              <w:rPr>
                <w:rFonts w:hint="eastAsia" w:ascii="宋体" w:hAnsi="宋体" w:cs="宋体"/>
                <w:sz w:val="24"/>
                <w:lang w:val="en-US" w:eastAsia="zh-CN"/>
              </w:rPr>
              <w:t>项目</w:t>
            </w:r>
            <w:r>
              <w:rPr>
                <w:rFonts w:hint="eastAsia" w:ascii="宋体" w:hAnsi="宋体" w:cs="宋体"/>
                <w:sz w:val="24"/>
              </w:rPr>
              <w:t>名称</w:t>
            </w:r>
          </w:p>
        </w:tc>
        <w:tc>
          <w:tcPr>
            <w:tcW w:w="9027" w:type="dxa"/>
            <w:noWrap w:val="0"/>
            <w:vAlign w:val="top"/>
          </w:tcPr>
          <w:p w14:paraId="20FFD285">
            <w:pPr>
              <w:spacing w:line="320" w:lineRule="exact"/>
              <w:jc w:val="center"/>
              <w:rPr>
                <w:rFonts w:hint="eastAsia" w:ascii="仿宋_GB2312" w:hAnsi="宋体" w:eastAsia="仿宋_GB2312" w:cs="Arial"/>
                <w:color w:val="000000"/>
                <w:sz w:val="32"/>
                <w:szCs w:val="32"/>
              </w:rPr>
            </w:pPr>
            <w:r>
              <w:rPr>
                <w:rFonts w:hint="eastAsia" w:ascii="宋体" w:hAnsi="宋体" w:eastAsia="宋体" w:cs="宋体"/>
                <w:sz w:val="24"/>
                <w:lang w:val="en-US" w:eastAsia="zh-CN"/>
              </w:rPr>
              <w:t>技术参数规格及配置要求</w:t>
            </w:r>
          </w:p>
        </w:tc>
      </w:tr>
      <w:tr w14:paraId="12DBC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3" w:type="dxa"/>
            <w:noWrap w:val="0"/>
            <w:vAlign w:val="top"/>
          </w:tcPr>
          <w:p w14:paraId="32642791">
            <w:pPr>
              <w:spacing w:line="320" w:lineRule="exact"/>
              <w:rPr>
                <w:rFonts w:hint="default" w:eastAsia="宋体"/>
                <w:lang w:val="en-US" w:eastAsia="zh-CN"/>
              </w:rPr>
            </w:pPr>
            <w:r>
              <w:rPr>
                <w:rFonts w:hint="eastAsia"/>
                <w:lang w:val="en-US" w:eastAsia="zh-CN"/>
              </w:rPr>
              <w:t>贴敷式胰岛素泵</w:t>
            </w:r>
          </w:p>
        </w:tc>
        <w:tc>
          <w:tcPr>
            <w:tcW w:w="9027" w:type="dxa"/>
            <w:noWrap w:val="0"/>
            <w:vAlign w:val="top"/>
          </w:tcPr>
          <w:p w14:paraId="63957E29">
            <w:pPr>
              <w:pStyle w:val="3"/>
              <w:keepNext w:val="0"/>
              <w:keepLines w:val="0"/>
              <w:pageBreakBefore w:val="0"/>
              <w:kinsoku/>
              <w:wordWrap/>
              <w:overflowPunct/>
              <w:topLinePunct w:val="0"/>
              <w:autoSpaceDE/>
              <w:autoSpaceDN/>
              <w:bidi w:val="0"/>
              <w:adjustRightInd/>
              <w:snapToGrid/>
              <w:spacing w:line="520" w:lineRule="exact"/>
              <w:ind w:left="0" w:leftChars="0" w:firstLine="0" w:firstLineChars="0"/>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kern w:val="2"/>
                <w:sz w:val="21"/>
                <w:szCs w:val="21"/>
                <w:vertAlign w:val="baseline"/>
                <w:lang w:val="en-US" w:eastAsia="zh-CN" w:bidi="ar-SA"/>
              </w:rPr>
              <w:t>1.储药器≥2mlL。</w:t>
            </w:r>
          </w:p>
          <w:p w14:paraId="2CC3E020">
            <w:pPr>
              <w:pStyle w:val="3"/>
              <w:keepNext w:val="0"/>
              <w:keepLines w:val="0"/>
              <w:pageBreakBefore w:val="0"/>
              <w:kinsoku/>
              <w:wordWrap/>
              <w:overflowPunct/>
              <w:topLinePunct w:val="0"/>
              <w:autoSpaceDE/>
              <w:autoSpaceDN/>
              <w:bidi w:val="0"/>
              <w:adjustRightInd/>
              <w:snapToGrid/>
              <w:spacing w:line="520" w:lineRule="exact"/>
              <w:ind w:left="0" w:leftChars="0" w:firstLine="0" w:firstLineChars="0"/>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kern w:val="2"/>
                <w:sz w:val="21"/>
                <w:szCs w:val="21"/>
                <w:vertAlign w:val="baseline"/>
                <w:lang w:val="en-US" w:eastAsia="zh-CN" w:bidi="ar-SA"/>
              </w:rPr>
              <w:t>2.胰岛素浓度U-100，速效或常规短效。</w:t>
            </w:r>
          </w:p>
          <w:p w14:paraId="02280B88">
            <w:pPr>
              <w:pStyle w:val="3"/>
              <w:keepNext w:val="0"/>
              <w:keepLines w:val="0"/>
              <w:pageBreakBefore w:val="0"/>
              <w:kinsoku/>
              <w:wordWrap/>
              <w:overflowPunct/>
              <w:topLinePunct w:val="0"/>
              <w:autoSpaceDE/>
              <w:autoSpaceDN/>
              <w:bidi w:val="0"/>
              <w:adjustRightInd/>
              <w:snapToGrid/>
              <w:spacing w:line="520" w:lineRule="exact"/>
              <w:ind w:left="0" w:leftChars="0" w:firstLine="0" w:firstLineChars="0"/>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kern w:val="2"/>
                <w:sz w:val="21"/>
                <w:szCs w:val="21"/>
                <w:vertAlign w:val="baseline"/>
                <w:lang w:val="en-US" w:eastAsia="zh-CN" w:bidi="ar-SA"/>
              </w:rPr>
              <w:t>3.三餐大剂量输注方式：常规输注/方波输注/双波输注。</w:t>
            </w:r>
          </w:p>
          <w:p w14:paraId="188E05EA">
            <w:pPr>
              <w:pStyle w:val="3"/>
              <w:keepNext w:val="0"/>
              <w:keepLines w:val="0"/>
              <w:pageBreakBefore w:val="0"/>
              <w:kinsoku/>
              <w:wordWrap/>
              <w:overflowPunct/>
              <w:topLinePunct w:val="0"/>
              <w:autoSpaceDE/>
              <w:autoSpaceDN/>
              <w:bidi w:val="0"/>
              <w:adjustRightInd/>
              <w:snapToGrid/>
              <w:spacing w:line="520" w:lineRule="exact"/>
              <w:ind w:left="0" w:leftChars="0" w:firstLine="0" w:firstLineChars="0"/>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kern w:val="2"/>
                <w:sz w:val="21"/>
                <w:szCs w:val="21"/>
                <w:vertAlign w:val="baseline"/>
                <w:lang w:val="en-US" w:eastAsia="zh-CN" w:bidi="ar-SA"/>
              </w:rPr>
              <w:t>4.基础量调节范围：0.025-35U/小时，基础率步长：0.025U/小时。</w:t>
            </w:r>
          </w:p>
          <w:p w14:paraId="066E9DEE">
            <w:pPr>
              <w:pStyle w:val="3"/>
              <w:keepNext w:val="0"/>
              <w:keepLines w:val="0"/>
              <w:pageBreakBefore w:val="0"/>
              <w:kinsoku/>
              <w:wordWrap/>
              <w:overflowPunct/>
              <w:topLinePunct w:val="0"/>
              <w:autoSpaceDE/>
              <w:autoSpaceDN/>
              <w:bidi w:val="0"/>
              <w:adjustRightInd/>
              <w:snapToGrid/>
              <w:spacing w:line="520" w:lineRule="exact"/>
              <w:ind w:left="0" w:leftChars="0" w:firstLine="0" w:firstLineChars="0"/>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kern w:val="2"/>
                <w:sz w:val="21"/>
                <w:szCs w:val="21"/>
                <w:vertAlign w:val="baseline"/>
                <w:lang w:val="en-US" w:eastAsia="zh-CN" w:bidi="ar-SA"/>
              </w:rPr>
              <w:t>5.大剂量调节范围：0.025-25 U，≥3个预设值。</w:t>
            </w:r>
          </w:p>
          <w:p w14:paraId="6CE7A0F7">
            <w:pPr>
              <w:pStyle w:val="3"/>
              <w:keepNext w:val="0"/>
              <w:keepLines w:val="0"/>
              <w:pageBreakBefore w:val="0"/>
              <w:kinsoku/>
              <w:wordWrap/>
              <w:overflowPunct/>
              <w:topLinePunct w:val="0"/>
              <w:autoSpaceDE/>
              <w:autoSpaceDN/>
              <w:bidi w:val="0"/>
              <w:adjustRightInd/>
              <w:snapToGrid/>
              <w:spacing w:line="520" w:lineRule="exact"/>
              <w:ind w:left="0" w:leftChars="0" w:firstLine="0" w:firstLineChars="0"/>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kern w:val="2"/>
                <w:sz w:val="21"/>
                <w:szCs w:val="21"/>
                <w:vertAlign w:val="baseline"/>
                <w:lang w:val="en-US" w:eastAsia="zh-CN" w:bidi="ar-SA"/>
              </w:rPr>
              <w:t>6.大剂量计算器目前血糖值，目标血糖值，1U胰岛素所能负荷的碳水化合物，胰岛素敏感因子，活性胰岛素，每餐进食碳水化合物量，负校正因子。</w:t>
            </w:r>
          </w:p>
          <w:p w14:paraId="49D10FF8">
            <w:pPr>
              <w:pStyle w:val="3"/>
              <w:keepNext w:val="0"/>
              <w:keepLines w:val="0"/>
              <w:pageBreakBefore w:val="0"/>
              <w:kinsoku/>
              <w:wordWrap/>
              <w:overflowPunct/>
              <w:topLinePunct w:val="0"/>
              <w:autoSpaceDE/>
              <w:autoSpaceDN/>
              <w:bidi w:val="0"/>
              <w:adjustRightInd/>
              <w:snapToGrid/>
              <w:spacing w:line="520" w:lineRule="exact"/>
              <w:ind w:left="0" w:leftChars="0" w:firstLine="0" w:firstLineChars="0"/>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kern w:val="2"/>
                <w:sz w:val="21"/>
                <w:szCs w:val="21"/>
                <w:vertAlign w:val="baseline"/>
                <w:lang w:val="en-US" w:eastAsia="zh-CN" w:bidi="ar-SA"/>
              </w:rPr>
              <w:t>7.胰岛素自动分配功能：6段法，24段法</w:t>
            </w:r>
          </w:p>
          <w:p w14:paraId="7FA0D0EE">
            <w:pPr>
              <w:pStyle w:val="3"/>
              <w:keepNext w:val="0"/>
              <w:keepLines w:val="0"/>
              <w:pageBreakBefore w:val="0"/>
              <w:kinsoku/>
              <w:wordWrap/>
              <w:overflowPunct/>
              <w:topLinePunct w:val="0"/>
              <w:autoSpaceDE/>
              <w:autoSpaceDN/>
              <w:bidi w:val="0"/>
              <w:adjustRightInd/>
              <w:snapToGrid/>
              <w:spacing w:line="520" w:lineRule="exact"/>
              <w:ind w:left="0" w:leftChars="0" w:firstLine="0" w:firstLineChars="0"/>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kern w:val="2"/>
                <w:sz w:val="21"/>
                <w:szCs w:val="21"/>
                <w:vertAlign w:val="baseline"/>
                <w:lang w:val="en-US" w:eastAsia="zh-CN" w:bidi="ar-SA"/>
              </w:rPr>
              <w:t>8.基础率分段3种预设，最多可设置48段。</w:t>
            </w:r>
          </w:p>
          <w:p w14:paraId="7E93D0ED">
            <w:pPr>
              <w:pStyle w:val="3"/>
              <w:keepNext w:val="0"/>
              <w:keepLines w:val="0"/>
              <w:pageBreakBefore w:val="0"/>
              <w:kinsoku/>
              <w:wordWrap/>
              <w:overflowPunct/>
              <w:topLinePunct w:val="0"/>
              <w:autoSpaceDE/>
              <w:autoSpaceDN/>
              <w:bidi w:val="0"/>
              <w:adjustRightInd/>
              <w:snapToGrid/>
              <w:spacing w:line="520" w:lineRule="exact"/>
              <w:ind w:left="0" w:leftChars="0" w:firstLine="0" w:firstLineChars="0"/>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kern w:val="2"/>
                <w:sz w:val="21"/>
                <w:szCs w:val="21"/>
                <w:vertAlign w:val="baseline"/>
                <w:lang w:val="en-US" w:eastAsia="zh-CN" w:bidi="ar-SA"/>
              </w:rPr>
              <w:t>9.临时基础率：U/小时、%和关闭三种设置方式，可记忆三组最近输入值。</w:t>
            </w:r>
          </w:p>
          <w:p w14:paraId="1C0A47DB">
            <w:pPr>
              <w:pStyle w:val="3"/>
              <w:keepNext w:val="0"/>
              <w:keepLines w:val="0"/>
              <w:pageBreakBefore w:val="0"/>
              <w:kinsoku/>
              <w:wordWrap/>
              <w:overflowPunct/>
              <w:topLinePunct w:val="0"/>
              <w:autoSpaceDE/>
              <w:autoSpaceDN/>
              <w:bidi w:val="0"/>
              <w:adjustRightInd/>
              <w:snapToGrid/>
              <w:spacing w:line="520" w:lineRule="exact"/>
              <w:ind w:left="0" w:leftChars="0" w:firstLine="0" w:firstLineChars="0"/>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kern w:val="2"/>
                <w:sz w:val="21"/>
                <w:szCs w:val="21"/>
                <w:vertAlign w:val="baseline"/>
                <w:lang w:val="en-US" w:eastAsia="zh-CN" w:bidi="ar-SA"/>
              </w:rPr>
              <w:t>10.胰岛素泵专用锂电池70mAh，可重复充电±300、200次。</w:t>
            </w:r>
          </w:p>
          <w:p w14:paraId="1A014BDD">
            <w:pPr>
              <w:pStyle w:val="3"/>
              <w:keepNext w:val="0"/>
              <w:keepLines w:val="0"/>
              <w:pageBreakBefore w:val="0"/>
              <w:kinsoku/>
              <w:wordWrap/>
              <w:overflowPunct/>
              <w:topLinePunct w:val="0"/>
              <w:autoSpaceDE/>
              <w:autoSpaceDN/>
              <w:bidi w:val="0"/>
              <w:adjustRightInd/>
              <w:snapToGrid/>
              <w:spacing w:line="520" w:lineRule="exact"/>
              <w:ind w:left="0" w:leftChars="0" w:firstLine="0" w:firstLineChars="0"/>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kern w:val="2"/>
                <w:sz w:val="21"/>
                <w:szCs w:val="21"/>
                <w:vertAlign w:val="baseline"/>
                <w:lang w:val="en-US" w:eastAsia="zh-CN" w:bidi="ar-SA"/>
              </w:rPr>
              <w:t>11.胰岛素泵控制器:无线独立控制器/蓝牙连接/液晶显示屏/全中文操作界面 /智能手机操作模式/可切换中、英文/显示剩余药量和剩余电量。</w:t>
            </w:r>
          </w:p>
          <w:p w14:paraId="0F3A671C">
            <w:pPr>
              <w:pStyle w:val="3"/>
              <w:keepNext w:val="0"/>
              <w:keepLines w:val="0"/>
              <w:pageBreakBefore w:val="0"/>
              <w:kinsoku/>
              <w:wordWrap/>
              <w:overflowPunct/>
              <w:topLinePunct w:val="0"/>
              <w:autoSpaceDE/>
              <w:autoSpaceDN/>
              <w:bidi w:val="0"/>
              <w:adjustRightInd/>
              <w:snapToGrid/>
              <w:spacing w:line="520" w:lineRule="exact"/>
              <w:ind w:left="0" w:leftChars="0" w:firstLine="0" w:firstLineChars="0"/>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kern w:val="2"/>
                <w:sz w:val="21"/>
                <w:szCs w:val="21"/>
                <w:vertAlign w:val="baseline"/>
                <w:lang w:val="en-US" w:eastAsia="zh-CN" w:bidi="ar-SA"/>
              </w:rPr>
              <w:t>12.胰岛素泵大剂量输注误差≤±5%。</w:t>
            </w:r>
          </w:p>
          <w:p w14:paraId="2E902317">
            <w:pPr>
              <w:pStyle w:val="3"/>
              <w:keepNext w:val="0"/>
              <w:keepLines w:val="0"/>
              <w:pageBreakBefore w:val="0"/>
              <w:kinsoku/>
              <w:wordWrap/>
              <w:overflowPunct/>
              <w:topLinePunct w:val="0"/>
              <w:autoSpaceDE/>
              <w:autoSpaceDN/>
              <w:bidi w:val="0"/>
              <w:adjustRightInd/>
              <w:snapToGrid/>
              <w:spacing w:line="520" w:lineRule="exact"/>
              <w:ind w:left="0" w:leftChars="0" w:firstLine="0" w:firstLineChars="0"/>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kern w:val="2"/>
                <w:sz w:val="21"/>
                <w:szCs w:val="21"/>
                <w:vertAlign w:val="baseline"/>
                <w:lang w:val="en-US" w:eastAsia="zh-CN" w:bidi="ar-SA"/>
              </w:rPr>
              <w:t>13.基础率输注误差≤0.4%。</w:t>
            </w:r>
          </w:p>
          <w:p w14:paraId="64949D55">
            <w:pPr>
              <w:pStyle w:val="3"/>
              <w:keepNext w:val="0"/>
              <w:keepLines w:val="0"/>
              <w:pageBreakBefore w:val="0"/>
              <w:kinsoku/>
              <w:wordWrap/>
              <w:overflowPunct/>
              <w:topLinePunct w:val="0"/>
              <w:autoSpaceDE/>
              <w:autoSpaceDN/>
              <w:bidi w:val="0"/>
              <w:adjustRightInd/>
              <w:snapToGrid/>
              <w:spacing w:line="520" w:lineRule="exact"/>
              <w:ind w:left="0" w:leftChars="0" w:firstLine="0" w:firstLineChars="0"/>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kern w:val="2"/>
                <w:sz w:val="21"/>
                <w:szCs w:val="21"/>
                <w:vertAlign w:val="baseline"/>
                <w:lang w:val="en-US" w:eastAsia="zh-CN" w:bidi="ar-SA"/>
              </w:rPr>
              <w:t>14.自检功能：双处理器相互检查，每2秒一次自检。</w:t>
            </w:r>
          </w:p>
          <w:p w14:paraId="63DE044A">
            <w:pPr>
              <w:pStyle w:val="3"/>
              <w:keepNext w:val="0"/>
              <w:keepLines w:val="0"/>
              <w:pageBreakBefore w:val="0"/>
              <w:kinsoku/>
              <w:wordWrap/>
              <w:overflowPunct/>
              <w:topLinePunct w:val="0"/>
              <w:autoSpaceDE/>
              <w:autoSpaceDN/>
              <w:bidi w:val="0"/>
              <w:adjustRightInd/>
              <w:snapToGrid/>
              <w:spacing w:line="520" w:lineRule="exact"/>
              <w:ind w:left="0" w:leftChars="0" w:firstLine="0" w:firstLineChars="0"/>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kern w:val="2"/>
                <w:sz w:val="21"/>
                <w:szCs w:val="21"/>
                <w:vertAlign w:val="baseline"/>
                <w:lang w:val="en-US" w:eastAsia="zh-CN" w:bidi="ar-SA"/>
              </w:rPr>
              <w:t>15.防水：胰岛素泵体IPX4 防水标准，可防溅水。</w:t>
            </w:r>
          </w:p>
          <w:p w14:paraId="3FC36DDD">
            <w:pPr>
              <w:pStyle w:val="3"/>
              <w:keepNext w:val="0"/>
              <w:keepLines w:val="0"/>
              <w:pageBreakBefore w:val="0"/>
              <w:kinsoku/>
              <w:wordWrap/>
              <w:overflowPunct/>
              <w:topLinePunct w:val="0"/>
              <w:autoSpaceDE/>
              <w:autoSpaceDN/>
              <w:bidi w:val="0"/>
              <w:adjustRightInd/>
              <w:snapToGrid/>
              <w:spacing w:line="520" w:lineRule="exact"/>
              <w:ind w:left="0" w:leftChars="0" w:firstLine="0" w:firstLineChars="0"/>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kern w:val="2"/>
                <w:sz w:val="21"/>
                <w:szCs w:val="21"/>
                <w:vertAlign w:val="baseline"/>
                <w:lang w:val="en-US" w:eastAsia="zh-CN" w:bidi="ar-SA"/>
              </w:rPr>
              <w:t>16.助针器有，无痛进针。</w:t>
            </w:r>
          </w:p>
          <w:p w14:paraId="5295C67B">
            <w:pPr>
              <w:pStyle w:val="3"/>
              <w:keepNext w:val="0"/>
              <w:keepLines w:val="0"/>
              <w:pageBreakBefore w:val="0"/>
              <w:kinsoku/>
              <w:wordWrap/>
              <w:overflowPunct/>
              <w:topLinePunct w:val="0"/>
              <w:autoSpaceDE/>
              <w:autoSpaceDN/>
              <w:bidi w:val="0"/>
              <w:adjustRightInd/>
              <w:snapToGrid/>
              <w:spacing w:line="520" w:lineRule="exact"/>
              <w:ind w:left="0" w:leftChars="0" w:firstLine="0" w:firstLineChars="0"/>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kern w:val="2"/>
                <w:sz w:val="21"/>
                <w:szCs w:val="21"/>
                <w:vertAlign w:val="baseline"/>
                <w:lang w:val="en-US" w:eastAsia="zh-CN" w:bidi="ar-SA"/>
              </w:rPr>
              <w:t>17.时间格式：12/24小时制。</w:t>
            </w:r>
          </w:p>
          <w:p w14:paraId="4CEF8A79">
            <w:pPr>
              <w:pStyle w:val="3"/>
              <w:keepNext w:val="0"/>
              <w:keepLines w:val="0"/>
              <w:pageBreakBefore w:val="0"/>
              <w:kinsoku/>
              <w:wordWrap/>
              <w:overflowPunct/>
              <w:topLinePunct w:val="0"/>
              <w:autoSpaceDE/>
              <w:autoSpaceDN/>
              <w:bidi w:val="0"/>
              <w:adjustRightInd/>
              <w:snapToGrid/>
              <w:spacing w:line="520" w:lineRule="exact"/>
              <w:ind w:left="0" w:leftChars="0" w:firstLine="0" w:firstLineChars="0"/>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kern w:val="2"/>
                <w:sz w:val="21"/>
                <w:szCs w:val="21"/>
                <w:vertAlign w:val="baseline"/>
                <w:lang w:val="en-US" w:eastAsia="zh-CN" w:bidi="ar-SA"/>
              </w:rPr>
              <w:t>18.报警方式：音频/震动/灯光/显示。</w:t>
            </w:r>
          </w:p>
          <w:p w14:paraId="14279975">
            <w:pPr>
              <w:pStyle w:val="3"/>
              <w:keepNext w:val="0"/>
              <w:keepLines w:val="0"/>
              <w:pageBreakBefore w:val="0"/>
              <w:kinsoku/>
              <w:wordWrap/>
              <w:overflowPunct/>
              <w:topLinePunct w:val="0"/>
              <w:autoSpaceDE/>
              <w:autoSpaceDN/>
              <w:bidi w:val="0"/>
              <w:adjustRightInd/>
              <w:snapToGrid/>
              <w:spacing w:line="520" w:lineRule="exact"/>
              <w:ind w:left="0" w:leftChars="0" w:firstLine="0" w:firstLineChars="0"/>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kern w:val="2"/>
                <w:sz w:val="21"/>
                <w:szCs w:val="21"/>
                <w:vertAlign w:val="baseline"/>
                <w:lang w:val="en-US" w:eastAsia="zh-CN" w:bidi="ar-SA"/>
              </w:rPr>
              <w:t>19.安全系统：最大餐前大剂量限制/最大日总量限制/每小时最大基础量限制/ 低药量报警/输注系统阻塞报警/低电量报警/泵故障报警。</w:t>
            </w:r>
          </w:p>
          <w:p w14:paraId="25D2CD02">
            <w:pPr>
              <w:pStyle w:val="3"/>
              <w:keepNext w:val="0"/>
              <w:keepLines w:val="0"/>
              <w:pageBreakBefore w:val="0"/>
              <w:kinsoku/>
              <w:wordWrap/>
              <w:overflowPunct/>
              <w:topLinePunct w:val="0"/>
              <w:autoSpaceDE/>
              <w:autoSpaceDN/>
              <w:bidi w:val="0"/>
              <w:adjustRightInd/>
              <w:snapToGrid/>
              <w:spacing w:line="520" w:lineRule="exact"/>
              <w:ind w:left="0" w:leftChars="0" w:firstLine="0" w:firstLineChars="0"/>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kern w:val="2"/>
                <w:sz w:val="21"/>
                <w:szCs w:val="21"/>
                <w:vertAlign w:val="baseline"/>
                <w:lang w:val="en-US" w:eastAsia="zh-CN" w:bidi="ar-SA"/>
              </w:rPr>
              <w:t>20.控制器内置血糖测试模块，可测指尖血糖。</w:t>
            </w:r>
          </w:p>
          <w:p w14:paraId="786AFBB2">
            <w:pPr>
              <w:pStyle w:val="3"/>
              <w:keepNext w:val="0"/>
              <w:keepLines w:val="0"/>
              <w:pageBreakBefore w:val="0"/>
              <w:kinsoku/>
              <w:wordWrap/>
              <w:overflowPunct/>
              <w:topLinePunct w:val="0"/>
              <w:autoSpaceDE/>
              <w:autoSpaceDN/>
              <w:bidi w:val="0"/>
              <w:adjustRightInd/>
              <w:snapToGrid/>
              <w:spacing w:line="520" w:lineRule="exact"/>
              <w:ind w:left="0" w:leftChars="0" w:firstLine="0" w:firstLineChars="0"/>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kern w:val="2"/>
                <w:sz w:val="21"/>
                <w:szCs w:val="21"/>
                <w:vertAlign w:val="baseline"/>
                <w:lang w:val="en-US" w:eastAsia="zh-CN" w:bidi="ar-SA"/>
              </w:rPr>
              <w:t>21.可回顾历史记录。</w:t>
            </w:r>
          </w:p>
          <w:p w14:paraId="362ECE92">
            <w:pPr>
              <w:pStyle w:val="3"/>
              <w:keepNext w:val="0"/>
              <w:keepLines w:val="0"/>
              <w:pageBreakBefore w:val="0"/>
              <w:kinsoku/>
              <w:wordWrap/>
              <w:overflowPunct/>
              <w:topLinePunct w:val="0"/>
              <w:autoSpaceDE/>
              <w:autoSpaceDN/>
              <w:bidi w:val="0"/>
              <w:adjustRightInd/>
              <w:snapToGrid/>
              <w:spacing w:line="520" w:lineRule="exact"/>
              <w:ind w:left="0" w:leftChars="0" w:firstLine="0" w:firstLineChars="0"/>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kern w:val="2"/>
                <w:sz w:val="21"/>
                <w:szCs w:val="21"/>
                <w:vertAlign w:val="baseline"/>
                <w:lang w:val="en-US" w:eastAsia="zh-CN" w:bidi="ar-SA"/>
              </w:rPr>
              <w:t>22.键盘锁定功能：有。</w:t>
            </w:r>
          </w:p>
          <w:p w14:paraId="1E9FB547">
            <w:pPr>
              <w:pStyle w:val="3"/>
              <w:keepNext w:val="0"/>
              <w:keepLines w:val="0"/>
              <w:pageBreakBefore w:val="0"/>
              <w:kinsoku/>
              <w:wordWrap/>
              <w:overflowPunct/>
              <w:topLinePunct w:val="0"/>
              <w:autoSpaceDE/>
              <w:autoSpaceDN/>
              <w:bidi w:val="0"/>
              <w:adjustRightInd/>
              <w:snapToGrid/>
              <w:spacing w:line="520" w:lineRule="exact"/>
              <w:ind w:left="0" w:leftChars="0" w:firstLine="0" w:firstLineChars="0"/>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kern w:val="2"/>
                <w:sz w:val="21"/>
                <w:szCs w:val="21"/>
                <w:vertAlign w:val="baseline"/>
                <w:lang w:val="en-US" w:eastAsia="zh-CN" w:bidi="ar-SA"/>
              </w:rPr>
              <w:t>*23.配置清单</w:t>
            </w:r>
          </w:p>
          <w:tbl>
            <w:tblPr>
              <w:tblStyle w:val="9"/>
              <w:tblW w:w="640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600"/>
              <w:gridCol w:w="1200"/>
              <w:gridCol w:w="2363"/>
              <w:gridCol w:w="1237"/>
            </w:tblGrid>
            <w:tr w14:paraId="2BFCAF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160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757C67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泵系统组件</w:t>
                  </w:r>
                </w:p>
              </w:tc>
              <w:tc>
                <w:tcPr>
                  <w:tcW w:w="120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051D99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数量(台)</w:t>
                  </w:r>
                </w:p>
              </w:tc>
              <w:tc>
                <w:tcPr>
                  <w:tcW w:w="236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7B096A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常用附件</w:t>
                  </w:r>
                </w:p>
              </w:tc>
              <w:tc>
                <w:tcPr>
                  <w:tcW w:w="1237"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690DBE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数量(个)</w:t>
                  </w:r>
                </w:p>
              </w:tc>
            </w:tr>
            <w:tr w14:paraId="40ED17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600" w:type="dxa"/>
                  <w:tcBorders>
                    <w:top w:val="nil"/>
                    <w:left w:val="single" w:color="000000" w:sz="8" w:space="0"/>
                    <w:bottom w:val="single" w:color="000000" w:sz="8" w:space="0"/>
                    <w:right w:val="single" w:color="000000" w:sz="8" w:space="0"/>
                  </w:tcBorders>
                  <w:shd w:val="clear" w:color="auto" w:fill="auto"/>
                  <w:vAlign w:val="center"/>
                </w:tcPr>
                <w:p w14:paraId="2EC0648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便携式控制器</w:t>
                  </w:r>
                </w:p>
              </w:tc>
              <w:tc>
                <w:tcPr>
                  <w:tcW w:w="1200" w:type="dxa"/>
                  <w:tcBorders>
                    <w:top w:val="nil"/>
                    <w:left w:val="single" w:color="000000" w:sz="8" w:space="0"/>
                    <w:bottom w:val="single" w:color="000000" w:sz="8" w:space="0"/>
                    <w:right w:val="single" w:color="000000" w:sz="8" w:space="0"/>
                  </w:tcBorders>
                  <w:shd w:val="clear" w:color="auto" w:fill="auto"/>
                  <w:vAlign w:val="center"/>
                </w:tcPr>
                <w:p w14:paraId="652E48C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2363" w:type="dxa"/>
                  <w:tcBorders>
                    <w:top w:val="nil"/>
                    <w:left w:val="single" w:color="000000" w:sz="8" w:space="0"/>
                    <w:bottom w:val="single" w:color="000000" w:sz="8" w:space="0"/>
                    <w:right w:val="single" w:color="000000" w:sz="8" w:space="0"/>
                  </w:tcBorders>
                  <w:shd w:val="clear" w:color="auto" w:fill="auto"/>
                  <w:vAlign w:val="center"/>
                </w:tcPr>
                <w:p w14:paraId="5AAE88B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助针器</w:t>
                  </w:r>
                </w:p>
              </w:tc>
              <w:tc>
                <w:tcPr>
                  <w:tcW w:w="1237" w:type="dxa"/>
                  <w:tcBorders>
                    <w:top w:val="nil"/>
                    <w:left w:val="single" w:color="000000" w:sz="8" w:space="0"/>
                    <w:bottom w:val="single" w:color="000000" w:sz="8" w:space="0"/>
                    <w:right w:val="single" w:color="000000" w:sz="8" w:space="0"/>
                  </w:tcBorders>
                  <w:shd w:val="clear" w:color="auto" w:fill="auto"/>
                  <w:vAlign w:val="center"/>
                </w:tcPr>
                <w:p w14:paraId="0251F63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r>
            <w:tr w14:paraId="31A15C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1600" w:type="dxa"/>
                  <w:tcBorders>
                    <w:top w:val="nil"/>
                    <w:left w:val="single" w:color="000000" w:sz="8" w:space="0"/>
                    <w:bottom w:val="single" w:color="000000" w:sz="8" w:space="0"/>
                    <w:right w:val="single" w:color="000000" w:sz="8" w:space="0"/>
                  </w:tcBorders>
                  <w:shd w:val="clear" w:color="auto" w:fill="auto"/>
                  <w:vAlign w:val="center"/>
                </w:tcPr>
                <w:p w14:paraId="50D7C53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胰岛素泵体</w:t>
                  </w:r>
                </w:p>
              </w:tc>
              <w:tc>
                <w:tcPr>
                  <w:tcW w:w="1200" w:type="dxa"/>
                  <w:tcBorders>
                    <w:top w:val="nil"/>
                    <w:left w:val="single" w:color="000000" w:sz="8" w:space="0"/>
                    <w:bottom w:val="single" w:color="000000" w:sz="8" w:space="0"/>
                    <w:right w:val="single" w:color="000000" w:sz="8" w:space="0"/>
                  </w:tcBorders>
                  <w:shd w:val="clear" w:color="auto" w:fill="auto"/>
                  <w:vAlign w:val="center"/>
                </w:tcPr>
                <w:p w14:paraId="33EA1C6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2363" w:type="dxa"/>
                  <w:tcBorders>
                    <w:top w:val="nil"/>
                    <w:left w:val="single" w:color="000000" w:sz="8" w:space="0"/>
                    <w:bottom w:val="single" w:color="000000" w:sz="8" w:space="0"/>
                    <w:right w:val="single" w:color="000000" w:sz="8" w:space="0"/>
                  </w:tcBorders>
                  <w:shd w:val="clear" w:color="auto" w:fill="auto"/>
                  <w:vAlign w:val="center"/>
                </w:tcPr>
                <w:p w14:paraId="2A97933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泵电池</w:t>
                  </w:r>
                </w:p>
              </w:tc>
              <w:tc>
                <w:tcPr>
                  <w:tcW w:w="1237" w:type="dxa"/>
                  <w:tcBorders>
                    <w:top w:val="nil"/>
                    <w:left w:val="single" w:color="000000" w:sz="8" w:space="0"/>
                    <w:bottom w:val="single" w:color="000000" w:sz="8" w:space="0"/>
                    <w:right w:val="single" w:color="000000" w:sz="8" w:space="0"/>
                  </w:tcBorders>
                  <w:shd w:val="clear" w:color="auto" w:fill="auto"/>
                  <w:vAlign w:val="center"/>
                </w:tcPr>
                <w:p w14:paraId="3552A49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w:t>
                  </w:r>
                </w:p>
              </w:tc>
            </w:tr>
            <w:tr w14:paraId="04E75F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600" w:type="dxa"/>
                  <w:tcBorders>
                    <w:top w:val="nil"/>
                    <w:left w:val="single" w:color="000000" w:sz="8" w:space="0"/>
                    <w:bottom w:val="single" w:color="000000" w:sz="8" w:space="0"/>
                    <w:right w:val="single" w:color="000000" w:sz="8" w:space="0"/>
                  </w:tcBorders>
                  <w:shd w:val="clear" w:color="auto" w:fill="auto"/>
                  <w:vAlign w:val="center"/>
                </w:tcPr>
                <w:p w14:paraId="66FFC7E3">
                  <w:pPr>
                    <w:jc w:val="center"/>
                    <w:rPr>
                      <w:rFonts w:hint="default" w:ascii="Times New Roman" w:hAnsi="Times New Roman" w:eastAsia="宋体" w:cs="Times New Roman"/>
                      <w:i w:val="0"/>
                      <w:iCs w:val="0"/>
                      <w:color w:val="000000"/>
                      <w:sz w:val="21"/>
                      <w:szCs w:val="21"/>
                      <w:u w:val="none"/>
                    </w:rPr>
                  </w:pPr>
                </w:p>
              </w:tc>
              <w:tc>
                <w:tcPr>
                  <w:tcW w:w="1200" w:type="dxa"/>
                  <w:tcBorders>
                    <w:top w:val="nil"/>
                    <w:left w:val="single" w:color="000000" w:sz="8" w:space="0"/>
                    <w:bottom w:val="single" w:color="000000" w:sz="8" w:space="0"/>
                    <w:right w:val="single" w:color="000000" w:sz="8" w:space="0"/>
                  </w:tcBorders>
                  <w:shd w:val="clear" w:color="auto" w:fill="auto"/>
                  <w:vAlign w:val="center"/>
                </w:tcPr>
                <w:p w14:paraId="7C28C226">
                  <w:pPr>
                    <w:jc w:val="center"/>
                    <w:rPr>
                      <w:rFonts w:hint="default" w:ascii="Times New Roman" w:hAnsi="Times New Roman" w:eastAsia="宋体" w:cs="Times New Roman"/>
                      <w:i w:val="0"/>
                      <w:iCs w:val="0"/>
                      <w:color w:val="000000"/>
                      <w:sz w:val="21"/>
                      <w:szCs w:val="21"/>
                      <w:u w:val="none"/>
                    </w:rPr>
                  </w:pPr>
                </w:p>
              </w:tc>
              <w:tc>
                <w:tcPr>
                  <w:tcW w:w="2363" w:type="dxa"/>
                  <w:tcBorders>
                    <w:top w:val="nil"/>
                    <w:left w:val="single" w:color="000000" w:sz="8" w:space="0"/>
                    <w:bottom w:val="single" w:color="000000" w:sz="8" w:space="0"/>
                    <w:right w:val="single" w:color="000000" w:sz="8" w:space="0"/>
                  </w:tcBorders>
                  <w:shd w:val="clear" w:color="auto" w:fill="auto"/>
                  <w:vAlign w:val="center"/>
                </w:tcPr>
                <w:p w14:paraId="76F4D06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泵电池充电器</w:t>
                  </w:r>
                </w:p>
              </w:tc>
              <w:tc>
                <w:tcPr>
                  <w:tcW w:w="1237" w:type="dxa"/>
                  <w:tcBorders>
                    <w:top w:val="nil"/>
                    <w:left w:val="single" w:color="000000" w:sz="8" w:space="0"/>
                    <w:bottom w:val="single" w:color="000000" w:sz="8" w:space="0"/>
                    <w:right w:val="single" w:color="000000" w:sz="8" w:space="0"/>
                  </w:tcBorders>
                  <w:shd w:val="clear" w:color="auto" w:fill="auto"/>
                  <w:vAlign w:val="center"/>
                </w:tcPr>
                <w:p w14:paraId="1393DAE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r>
            <w:tr w14:paraId="0B4B05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1600" w:type="dxa"/>
                  <w:tcBorders>
                    <w:top w:val="nil"/>
                    <w:left w:val="single" w:color="000000" w:sz="8" w:space="0"/>
                    <w:bottom w:val="single" w:color="000000" w:sz="8" w:space="0"/>
                    <w:right w:val="single" w:color="000000" w:sz="8" w:space="0"/>
                  </w:tcBorders>
                  <w:shd w:val="clear" w:color="auto" w:fill="auto"/>
                  <w:vAlign w:val="center"/>
                </w:tcPr>
                <w:p w14:paraId="2B0D198A">
                  <w:pPr>
                    <w:jc w:val="center"/>
                    <w:rPr>
                      <w:rFonts w:hint="default" w:ascii="Times New Roman" w:hAnsi="Times New Roman" w:eastAsia="宋体" w:cs="Times New Roman"/>
                      <w:i w:val="0"/>
                      <w:iCs w:val="0"/>
                      <w:color w:val="000000"/>
                      <w:sz w:val="21"/>
                      <w:szCs w:val="21"/>
                      <w:u w:val="none"/>
                    </w:rPr>
                  </w:pPr>
                </w:p>
              </w:tc>
              <w:tc>
                <w:tcPr>
                  <w:tcW w:w="1200" w:type="dxa"/>
                  <w:tcBorders>
                    <w:top w:val="nil"/>
                    <w:left w:val="single" w:color="000000" w:sz="8" w:space="0"/>
                    <w:bottom w:val="single" w:color="000000" w:sz="8" w:space="0"/>
                    <w:right w:val="single" w:color="000000" w:sz="8" w:space="0"/>
                  </w:tcBorders>
                  <w:shd w:val="clear" w:color="auto" w:fill="auto"/>
                  <w:vAlign w:val="center"/>
                </w:tcPr>
                <w:p w14:paraId="38345DBE">
                  <w:pPr>
                    <w:jc w:val="center"/>
                    <w:rPr>
                      <w:rFonts w:hint="default" w:ascii="Times New Roman" w:hAnsi="Times New Roman" w:eastAsia="宋体" w:cs="Times New Roman"/>
                      <w:i w:val="0"/>
                      <w:iCs w:val="0"/>
                      <w:color w:val="000000"/>
                      <w:sz w:val="21"/>
                      <w:szCs w:val="21"/>
                      <w:u w:val="none"/>
                    </w:rPr>
                  </w:pPr>
                </w:p>
              </w:tc>
              <w:tc>
                <w:tcPr>
                  <w:tcW w:w="2363" w:type="dxa"/>
                  <w:tcBorders>
                    <w:top w:val="nil"/>
                    <w:left w:val="single" w:color="000000" w:sz="8" w:space="0"/>
                    <w:bottom w:val="single" w:color="000000" w:sz="8" w:space="0"/>
                    <w:right w:val="single" w:color="000000" w:sz="8" w:space="0"/>
                  </w:tcBorders>
                  <w:shd w:val="clear" w:color="auto" w:fill="auto"/>
                  <w:vAlign w:val="center"/>
                </w:tcPr>
                <w:p w14:paraId="545367C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便携式控制器电池</w:t>
                  </w:r>
                </w:p>
              </w:tc>
              <w:tc>
                <w:tcPr>
                  <w:tcW w:w="1237" w:type="dxa"/>
                  <w:tcBorders>
                    <w:top w:val="nil"/>
                    <w:left w:val="single" w:color="000000" w:sz="8" w:space="0"/>
                    <w:bottom w:val="single" w:color="000000" w:sz="8" w:space="0"/>
                    <w:right w:val="single" w:color="000000" w:sz="8" w:space="0"/>
                  </w:tcBorders>
                  <w:shd w:val="clear" w:color="auto" w:fill="auto"/>
                  <w:vAlign w:val="center"/>
                </w:tcPr>
                <w:p w14:paraId="4F12972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r>
            <w:tr w14:paraId="1BCC26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600" w:type="dxa"/>
                  <w:tcBorders>
                    <w:top w:val="nil"/>
                    <w:left w:val="single" w:color="000000" w:sz="8" w:space="0"/>
                    <w:bottom w:val="single" w:color="000000" w:sz="8" w:space="0"/>
                    <w:right w:val="single" w:color="000000" w:sz="8" w:space="0"/>
                  </w:tcBorders>
                  <w:shd w:val="clear" w:color="auto" w:fill="auto"/>
                  <w:vAlign w:val="center"/>
                </w:tcPr>
                <w:p w14:paraId="1C5D0C33">
                  <w:pPr>
                    <w:jc w:val="center"/>
                    <w:rPr>
                      <w:rFonts w:hint="default" w:ascii="Times New Roman" w:hAnsi="Times New Roman" w:eastAsia="宋体" w:cs="Times New Roman"/>
                      <w:i w:val="0"/>
                      <w:iCs w:val="0"/>
                      <w:color w:val="000000"/>
                      <w:sz w:val="21"/>
                      <w:szCs w:val="21"/>
                      <w:u w:val="none"/>
                    </w:rPr>
                  </w:pPr>
                </w:p>
              </w:tc>
              <w:tc>
                <w:tcPr>
                  <w:tcW w:w="1200" w:type="dxa"/>
                  <w:tcBorders>
                    <w:top w:val="nil"/>
                    <w:left w:val="single" w:color="000000" w:sz="8" w:space="0"/>
                    <w:bottom w:val="single" w:color="000000" w:sz="8" w:space="0"/>
                    <w:right w:val="single" w:color="000000" w:sz="8" w:space="0"/>
                  </w:tcBorders>
                  <w:shd w:val="clear" w:color="auto" w:fill="auto"/>
                  <w:vAlign w:val="center"/>
                </w:tcPr>
                <w:p w14:paraId="767176AB">
                  <w:pPr>
                    <w:jc w:val="center"/>
                    <w:rPr>
                      <w:rFonts w:hint="default" w:ascii="Times New Roman" w:hAnsi="Times New Roman" w:eastAsia="宋体" w:cs="Times New Roman"/>
                      <w:i w:val="0"/>
                      <w:iCs w:val="0"/>
                      <w:color w:val="000000"/>
                      <w:sz w:val="21"/>
                      <w:szCs w:val="21"/>
                      <w:u w:val="none"/>
                    </w:rPr>
                  </w:pPr>
                </w:p>
              </w:tc>
              <w:tc>
                <w:tcPr>
                  <w:tcW w:w="2363" w:type="dxa"/>
                  <w:tcBorders>
                    <w:top w:val="nil"/>
                    <w:left w:val="single" w:color="000000" w:sz="8" w:space="0"/>
                    <w:bottom w:val="single" w:color="000000" w:sz="8" w:space="0"/>
                    <w:right w:val="single" w:color="000000" w:sz="8" w:space="0"/>
                  </w:tcBorders>
                  <w:shd w:val="clear" w:color="auto" w:fill="auto"/>
                  <w:vAlign w:val="center"/>
                </w:tcPr>
                <w:p w14:paraId="707037E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便携式控制器充电器</w:t>
                  </w:r>
                </w:p>
              </w:tc>
              <w:tc>
                <w:tcPr>
                  <w:tcW w:w="1237" w:type="dxa"/>
                  <w:tcBorders>
                    <w:top w:val="nil"/>
                    <w:left w:val="single" w:color="000000" w:sz="8" w:space="0"/>
                    <w:bottom w:val="single" w:color="000000" w:sz="8" w:space="0"/>
                    <w:right w:val="single" w:color="000000" w:sz="8" w:space="0"/>
                  </w:tcBorders>
                  <w:shd w:val="clear" w:color="auto" w:fill="auto"/>
                  <w:vAlign w:val="center"/>
                </w:tcPr>
                <w:p w14:paraId="621FD99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r>
            <w:tr w14:paraId="40BF70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600" w:type="dxa"/>
                  <w:tcBorders>
                    <w:top w:val="nil"/>
                    <w:left w:val="single" w:color="000000" w:sz="8" w:space="0"/>
                    <w:bottom w:val="single" w:color="000000" w:sz="8" w:space="0"/>
                    <w:right w:val="single" w:color="000000" w:sz="8" w:space="0"/>
                  </w:tcBorders>
                  <w:shd w:val="clear" w:color="auto" w:fill="auto"/>
                  <w:vAlign w:val="center"/>
                </w:tcPr>
                <w:p w14:paraId="22231F42">
                  <w:pPr>
                    <w:jc w:val="center"/>
                    <w:rPr>
                      <w:rFonts w:hint="default" w:ascii="Times New Roman" w:hAnsi="Times New Roman" w:eastAsia="宋体" w:cs="Times New Roman"/>
                      <w:i w:val="0"/>
                      <w:iCs w:val="0"/>
                      <w:color w:val="000000"/>
                      <w:sz w:val="21"/>
                      <w:szCs w:val="21"/>
                      <w:u w:val="none"/>
                    </w:rPr>
                  </w:pPr>
                </w:p>
              </w:tc>
              <w:tc>
                <w:tcPr>
                  <w:tcW w:w="1200" w:type="dxa"/>
                  <w:tcBorders>
                    <w:top w:val="nil"/>
                    <w:left w:val="single" w:color="000000" w:sz="8" w:space="0"/>
                    <w:bottom w:val="single" w:color="000000" w:sz="8" w:space="0"/>
                    <w:right w:val="single" w:color="000000" w:sz="8" w:space="0"/>
                  </w:tcBorders>
                  <w:shd w:val="clear" w:color="auto" w:fill="auto"/>
                  <w:vAlign w:val="center"/>
                </w:tcPr>
                <w:p w14:paraId="56FC8D93">
                  <w:pPr>
                    <w:jc w:val="center"/>
                    <w:rPr>
                      <w:rFonts w:hint="default" w:ascii="Times New Roman" w:hAnsi="Times New Roman" w:eastAsia="宋体" w:cs="Times New Roman"/>
                      <w:i w:val="0"/>
                      <w:iCs w:val="0"/>
                      <w:color w:val="000000"/>
                      <w:sz w:val="21"/>
                      <w:szCs w:val="21"/>
                      <w:u w:val="none"/>
                    </w:rPr>
                  </w:pPr>
                </w:p>
              </w:tc>
              <w:tc>
                <w:tcPr>
                  <w:tcW w:w="2363" w:type="dxa"/>
                  <w:tcBorders>
                    <w:top w:val="nil"/>
                    <w:left w:val="single" w:color="000000" w:sz="8" w:space="0"/>
                    <w:bottom w:val="single" w:color="000000" w:sz="8" w:space="0"/>
                    <w:right w:val="single" w:color="000000" w:sz="8" w:space="0"/>
                  </w:tcBorders>
                  <w:shd w:val="clear" w:color="auto" w:fill="auto"/>
                  <w:vAlign w:val="center"/>
                </w:tcPr>
                <w:p w14:paraId="07633C0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便携式控制器充电线</w:t>
                  </w:r>
                </w:p>
              </w:tc>
              <w:tc>
                <w:tcPr>
                  <w:tcW w:w="1237" w:type="dxa"/>
                  <w:tcBorders>
                    <w:top w:val="nil"/>
                    <w:left w:val="single" w:color="000000" w:sz="8" w:space="0"/>
                    <w:bottom w:val="single" w:color="000000" w:sz="8" w:space="0"/>
                    <w:right w:val="single" w:color="000000" w:sz="8" w:space="0"/>
                  </w:tcBorders>
                  <w:shd w:val="clear" w:color="auto" w:fill="auto"/>
                  <w:vAlign w:val="center"/>
                </w:tcPr>
                <w:p w14:paraId="1623F9A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r>
          </w:tbl>
          <w:p w14:paraId="01CB6A81">
            <w:pPr>
              <w:pStyle w:val="13"/>
              <w:numPr>
                <w:ilvl w:val="0"/>
                <w:numId w:val="0"/>
              </w:numPr>
              <w:rPr>
                <w:rFonts w:hint="default"/>
                <w:lang w:val="en-US" w:eastAsia="zh-CN"/>
              </w:rPr>
            </w:pPr>
          </w:p>
        </w:tc>
      </w:tr>
      <w:tr w14:paraId="5E6BA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40" w:type="dxa"/>
            <w:gridSpan w:val="2"/>
            <w:noWrap w:val="0"/>
            <w:vAlign w:val="top"/>
          </w:tcPr>
          <w:p w14:paraId="18D8D26E">
            <w:pPr>
              <w:spacing w:line="360" w:lineRule="auto"/>
              <w:rPr>
                <w:rFonts w:hint="eastAsia"/>
                <w:kern w:val="0"/>
                <w:sz w:val="24"/>
                <w:szCs w:val="24"/>
              </w:rPr>
            </w:pPr>
            <w:r>
              <w:rPr>
                <w:rFonts w:hint="default" w:ascii="Times New Roman" w:hAnsi="Times New Roman" w:eastAsia="宋体" w:cs="Times New Roman"/>
                <w:b/>
                <w:sz w:val="24"/>
                <w:szCs w:val="24"/>
              </w:rPr>
              <w:t>*</w:t>
            </w:r>
            <w:r>
              <w:rPr>
                <w:rFonts w:hint="eastAsia" w:ascii="宋体" w:hAnsi="宋体" w:cs="宋体"/>
                <w:sz w:val="21"/>
                <w:szCs w:val="21"/>
              </w:rPr>
              <w:t>商务需求：</w:t>
            </w:r>
          </w:p>
        </w:tc>
      </w:tr>
      <w:tr w14:paraId="03B3E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3" w:type="dxa"/>
            <w:noWrap w:val="0"/>
            <w:vAlign w:val="center"/>
          </w:tcPr>
          <w:p w14:paraId="13B8466A">
            <w:pPr>
              <w:spacing w:line="480" w:lineRule="auto"/>
              <w:jc w:val="center"/>
              <w:rPr>
                <w:rFonts w:hint="eastAsia" w:ascii="宋体" w:hAnsi="宋体" w:cs="宋体"/>
                <w:sz w:val="21"/>
                <w:szCs w:val="21"/>
              </w:rPr>
            </w:pPr>
            <w:r>
              <w:rPr>
                <w:rFonts w:hint="eastAsia" w:ascii="宋体" w:hAnsi="宋体" w:cs="宋体"/>
                <w:sz w:val="21"/>
                <w:szCs w:val="21"/>
              </w:rPr>
              <w:t>合同签订期</w:t>
            </w:r>
          </w:p>
        </w:tc>
        <w:tc>
          <w:tcPr>
            <w:tcW w:w="9027" w:type="dxa"/>
            <w:noWrap w:val="0"/>
            <w:vAlign w:val="center"/>
          </w:tcPr>
          <w:p w14:paraId="5A6B25AB">
            <w:pPr>
              <w:jc w:val="left"/>
              <w:rPr>
                <w:rFonts w:hint="eastAsia" w:eastAsia="宋体"/>
                <w:kern w:val="0"/>
                <w:sz w:val="24"/>
                <w:szCs w:val="24"/>
                <w:lang w:eastAsia="zh-CN"/>
              </w:rPr>
            </w:pPr>
            <w:r>
              <w:rPr>
                <w:rFonts w:hint="eastAsia" w:ascii="宋体" w:cs="宋体"/>
                <w:sz w:val="21"/>
                <w:szCs w:val="21"/>
              </w:rPr>
              <w:t>自</w:t>
            </w:r>
            <w:r>
              <w:rPr>
                <w:rFonts w:hint="eastAsia" w:cs="宋体"/>
                <w:sz w:val="21"/>
                <w:szCs w:val="21"/>
                <w:lang w:val="en-US" w:eastAsia="zh-CN"/>
              </w:rPr>
              <w:t>发出成交公告之日</w:t>
            </w:r>
            <w:r>
              <w:rPr>
                <w:rFonts w:hint="eastAsia" w:ascii="宋体" w:cs="宋体"/>
                <w:sz w:val="21"/>
                <w:szCs w:val="21"/>
              </w:rPr>
              <w:t>起</w:t>
            </w:r>
            <w:r>
              <w:rPr>
                <w:rFonts w:hint="eastAsia" w:ascii="宋体" w:cs="宋体"/>
                <w:sz w:val="21"/>
                <w:szCs w:val="21"/>
                <w:lang w:val="en-US" w:eastAsia="zh-CN"/>
              </w:rPr>
              <w:t>二十五</w:t>
            </w:r>
            <w:r>
              <w:rPr>
                <w:rFonts w:hint="eastAsia" w:ascii="宋体" w:cs="宋体"/>
                <w:sz w:val="21"/>
                <w:szCs w:val="21"/>
              </w:rPr>
              <w:t>日内</w:t>
            </w:r>
            <w:r>
              <w:rPr>
                <w:rFonts w:hint="eastAsia" w:ascii="宋体" w:cs="宋体"/>
                <w:sz w:val="21"/>
                <w:szCs w:val="21"/>
                <w:lang w:eastAsia="zh-CN"/>
              </w:rPr>
              <w:t>。</w:t>
            </w:r>
          </w:p>
        </w:tc>
      </w:tr>
      <w:tr w14:paraId="3311BF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3" w:type="dxa"/>
            <w:noWrap w:val="0"/>
            <w:vAlign w:val="top"/>
          </w:tcPr>
          <w:p w14:paraId="0AA74E6C">
            <w:pPr>
              <w:spacing w:line="480" w:lineRule="auto"/>
              <w:jc w:val="center"/>
              <w:rPr>
                <w:rFonts w:hint="eastAsia" w:ascii="宋体" w:hAnsi="宋体" w:cs="宋体"/>
                <w:sz w:val="21"/>
                <w:szCs w:val="21"/>
              </w:rPr>
            </w:pPr>
            <w:r>
              <w:rPr>
                <w:rFonts w:hint="eastAsia" w:ascii="宋体" w:hAnsi="宋体" w:cs="宋体"/>
                <w:sz w:val="21"/>
                <w:szCs w:val="21"/>
                <w:vertAlign w:val="baseline"/>
                <w:lang w:eastAsia="zh-CN"/>
              </w:rPr>
              <w:t>质保期</w:t>
            </w:r>
          </w:p>
        </w:tc>
        <w:tc>
          <w:tcPr>
            <w:tcW w:w="9027" w:type="dxa"/>
            <w:noWrap w:val="0"/>
            <w:vAlign w:val="center"/>
          </w:tcPr>
          <w:p w14:paraId="70655D13">
            <w:pPr>
              <w:spacing w:line="360" w:lineRule="exact"/>
              <w:rPr>
                <w:rFonts w:hint="eastAsia"/>
                <w:kern w:val="0"/>
                <w:sz w:val="24"/>
                <w:szCs w:val="24"/>
              </w:rPr>
            </w:pPr>
            <w:r>
              <w:rPr>
                <w:rFonts w:hint="default" w:ascii="宋体" w:hAnsi="宋体" w:eastAsia="宋体" w:cs="宋体"/>
                <w:b w:val="0"/>
                <w:bCs/>
                <w:sz w:val="21"/>
                <w:szCs w:val="21"/>
                <w:lang w:val="en-US" w:eastAsia="zh-CN"/>
              </w:rPr>
              <w:t>自交货验收合格之日起</w:t>
            </w:r>
            <w:r>
              <w:rPr>
                <w:rFonts w:hint="eastAsia" w:ascii="宋体" w:hAnsi="宋体" w:eastAsia="宋体" w:cs="宋体"/>
                <w:b w:val="0"/>
                <w:bCs/>
                <w:sz w:val="21"/>
                <w:szCs w:val="21"/>
                <w:lang w:val="en-US" w:eastAsia="zh-CN"/>
              </w:rPr>
              <w:t>，维保</w:t>
            </w:r>
            <w:r>
              <w:rPr>
                <w:rFonts w:hint="eastAsia" w:ascii="宋体" w:hAnsi="宋体" w:cs="宋体"/>
                <w:b w:val="0"/>
                <w:bCs/>
                <w:sz w:val="21"/>
                <w:szCs w:val="21"/>
                <w:lang w:val="en-US" w:eastAsia="zh-CN"/>
              </w:rPr>
              <w:t>肆</w:t>
            </w:r>
            <w:r>
              <w:rPr>
                <w:rFonts w:hint="eastAsia" w:ascii="宋体" w:hAnsi="宋体" w:eastAsia="宋体" w:cs="宋体"/>
                <w:b w:val="0"/>
                <w:bCs/>
                <w:sz w:val="21"/>
                <w:szCs w:val="21"/>
                <w:lang w:val="en-US" w:eastAsia="zh-CN"/>
              </w:rPr>
              <w:t>年。</w:t>
            </w:r>
            <w:r>
              <w:rPr>
                <w:rFonts w:hint="default" w:ascii="宋体" w:hAnsi="宋体" w:eastAsia="宋体" w:cs="宋体"/>
                <w:b w:val="0"/>
                <w:bCs/>
                <w:sz w:val="21"/>
                <w:szCs w:val="21"/>
                <w:lang w:val="en-US" w:eastAsia="zh-CN"/>
              </w:rPr>
              <w:t>质保期内定期对设备进行免费保养和维护（免费维修或更换配件），保修期内出现故障，需派出技术工程师到达现场处理故障，并承担一切费用。质保期后提供终身维修服务，其余按供应商提交的售后服务承诺书执行；所有非故意性损坏以及在要求质量标准范围内的正常使用造成的损坏均要免费维修。对因采购方人员的不正当使用所造成的损坏不归成交供应商负责保修，但</w:t>
            </w:r>
            <w:r>
              <w:rPr>
                <w:rFonts w:hint="eastAsia" w:ascii="宋体" w:hAnsi="宋体" w:eastAsia="宋体" w:cs="宋体"/>
                <w:b w:val="0"/>
                <w:bCs/>
                <w:sz w:val="21"/>
                <w:szCs w:val="21"/>
                <w:lang w:val="en-US" w:eastAsia="zh-CN"/>
              </w:rPr>
              <w:t>中标</w:t>
            </w:r>
            <w:r>
              <w:rPr>
                <w:rFonts w:hint="default" w:ascii="宋体" w:hAnsi="宋体" w:eastAsia="宋体" w:cs="宋体"/>
                <w:b w:val="0"/>
                <w:bCs/>
                <w:sz w:val="21"/>
                <w:szCs w:val="21"/>
                <w:lang w:val="en-US" w:eastAsia="zh-CN"/>
              </w:rPr>
              <w:t>供应商也要积极帮助采购人修理，并保证提供优惠价格的配件和服务。</w:t>
            </w:r>
          </w:p>
        </w:tc>
      </w:tr>
      <w:tr w14:paraId="3C18F8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3" w:type="dxa"/>
            <w:noWrap w:val="0"/>
            <w:vAlign w:val="top"/>
          </w:tcPr>
          <w:p w14:paraId="738E8B87">
            <w:pPr>
              <w:keepNext w:val="0"/>
              <w:keepLines w:val="0"/>
              <w:pageBreakBefore w:val="0"/>
              <w:widowControl w:val="0"/>
              <w:kinsoku/>
              <w:wordWrap/>
              <w:overflowPunct/>
              <w:topLinePunct w:val="0"/>
              <w:autoSpaceDE/>
              <w:autoSpaceDN/>
              <w:bidi w:val="0"/>
              <w:adjustRightInd/>
              <w:snapToGrid/>
              <w:spacing w:line="1200" w:lineRule="auto"/>
              <w:jc w:val="center"/>
              <w:textAlignment w:val="auto"/>
              <w:rPr>
                <w:rFonts w:hint="eastAsia" w:ascii="宋体" w:hAnsi="宋体" w:cs="宋体"/>
                <w:sz w:val="21"/>
                <w:szCs w:val="21"/>
              </w:rPr>
            </w:pPr>
            <w:r>
              <w:rPr>
                <w:rFonts w:hint="eastAsia" w:ascii="宋体" w:hAnsi="宋体" w:cs="宋体"/>
                <w:sz w:val="21"/>
                <w:szCs w:val="21"/>
                <w:vertAlign w:val="baseline"/>
                <w:lang w:eastAsia="zh-CN"/>
              </w:rPr>
              <w:t>售后服务</w:t>
            </w:r>
            <w:r>
              <w:rPr>
                <w:rFonts w:hint="eastAsia" w:ascii="宋体" w:hAnsi="宋体" w:cs="宋体"/>
                <w:sz w:val="21"/>
                <w:szCs w:val="21"/>
                <w:vertAlign w:val="baseline"/>
                <w:lang w:val="en-US" w:eastAsia="zh-CN"/>
              </w:rPr>
              <w:t>需</w:t>
            </w:r>
            <w:r>
              <w:rPr>
                <w:rFonts w:hint="eastAsia" w:ascii="宋体" w:hAnsi="宋体" w:cs="宋体"/>
                <w:sz w:val="21"/>
                <w:szCs w:val="21"/>
                <w:vertAlign w:val="baseline"/>
                <w:lang w:eastAsia="zh-CN"/>
              </w:rPr>
              <w:t>求</w:t>
            </w:r>
          </w:p>
        </w:tc>
        <w:tc>
          <w:tcPr>
            <w:tcW w:w="9027" w:type="dxa"/>
            <w:noWrap w:val="0"/>
            <w:vAlign w:val="top"/>
          </w:tcPr>
          <w:p w14:paraId="39306962">
            <w:pPr>
              <w:pStyle w:val="4"/>
              <w:rPr>
                <w:rFonts w:hint="eastAsia"/>
                <w:kern w:val="0"/>
                <w:sz w:val="24"/>
                <w:szCs w:val="24"/>
              </w:rPr>
            </w:pPr>
            <w:r>
              <w:rPr>
                <w:rFonts w:hint="eastAsia" w:ascii="宋体" w:hAnsi="宋体" w:eastAsia="宋体" w:cs="宋体"/>
                <w:sz w:val="21"/>
                <w:szCs w:val="21"/>
                <w:vertAlign w:val="baseline"/>
              </w:rPr>
              <w:t>⑴按厂家承诺实行“三包”；⑵免费送货上门、免费安装调试合格；⑶在质保期内，采购人在使用过程中出现损坏的，成交供应商在接到甲方货物故障通知后2小时内响应，并于8小时内到达现场，24小时内排除故障。质保期外，只收配件成本费，免服务费；⑷每年至少一次定期回访、维修；⑸其余按厂家承诺进行。</w:t>
            </w:r>
          </w:p>
        </w:tc>
      </w:tr>
      <w:tr w14:paraId="66A10D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3" w:type="dxa"/>
            <w:noWrap w:val="0"/>
            <w:vAlign w:val="top"/>
          </w:tcPr>
          <w:p w14:paraId="6841D706">
            <w:pPr>
              <w:jc w:val="center"/>
              <w:rPr>
                <w:rFonts w:ascii="宋体" w:cs="宋体"/>
                <w:sz w:val="21"/>
                <w:szCs w:val="21"/>
              </w:rPr>
            </w:pPr>
            <w:r>
              <w:rPr>
                <w:rFonts w:hint="eastAsia" w:ascii="宋体" w:hAnsi="宋体" w:cs="宋体"/>
                <w:sz w:val="21"/>
                <w:szCs w:val="21"/>
              </w:rPr>
              <w:t>交货期及交货</w:t>
            </w:r>
          </w:p>
          <w:p w14:paraId="7946A70E">
            <w:pPr>
              <w:jc w:val="center"/>
              <w:rPr>
                <w:rFonts w:hint="eastAsia" w:ascii="宋体" w:hAnsi="宋体" w:cs="宋体"/>
                <w:sz w:val="21"/>
                <w:szCs w:val="21"/>
              </w:rPr>
            </w:pPr>
            <w:r>
              <w:rPr>
                <w:rFonts w:hint="eastAsia" w:ascii="宋体" w:hAnsi="宋体" w:cs="宋体"/>
                <w:sz w:val="21"/>
                <w:szCs w:val="21"/>
              </w:rPr>
              <w:t>安装地点</w:t>
            </w:r>
          </w:p>
        </w:tc>
        <w:tc>
          <w:tcPr>
            <w:tcW w:w="9027" w:type="dxa"/>
            <w:noWrap w:val="0"/>
            <w:vAlign w:val="top"/>
          </w:tcPr>
          <w:p w14:paraId="12D21667">
            <w:pPr>
              <w:spacing w:line="340" w:lineRule="exact"/>
              <w:rPr>
                <w:sz w:val="21"/>
                <w:szCs w:val="21"/>
              </w:rPr>
            </w:pPr>
            <w:r>
              <w:rPr>
                <w:sz w:val="21"/>
                <w:szCs w:val="21"/>
              </w:rPr>
              <w:t>1</w:t>
            </w:r>
            <w:r>
              <w:rPr>
                <w:rFonts w:hint="eastAsia"/>
                <w:sz w:val="21"/>
                <w:szCs w:val="21"/>
              </w:rPr>
              <w:t>、交货期：自签订合同之日起</w:t>
            </w:r>
            <w:r>
              <w:rPr>
                <w:rFonts w:hint="eastAsia"/>
                <w:sz w:val="21"/>
                <w:szCs w:val="21"/>
                <w:lang w:val="en-US" w:eastAsia="zh-CN"/>
              </w:rPr>
              <w:t>7个工作</w:t>
            </w:r>
            <w:r>
              <w:rPr>
                <w:rFonts w:hint="eastAsia"/>
                <w:sz w:val="21"/>
                <w:szCs w:val="21"/>
              </w:rPr>
              <w:t>日内交货完毕。</w:t>
            </w:r>
          </w:p>
          <w:p w14:paraId="7EFD13B0">
            <w:pPr>
              <w:rPr>
                <w:rFonts w:hint="eastAsia"/>
                <w:kern w:val="0"/>
                <w:sz w:val="24"/>
                <w:szCs w:val="24"/>
              </w:rPr>
            </w:pPr>
            <w:r>
              <w:rPr>
                <w:sz w:val="21"/>
                <w:szCs w:val="21"/>
              </w:rPr>
              <w:t>2</w:t>
            </w:r>
            <w:r>
              <w:rPr>
                <w:rFonts w:hint="eastAsia"/>
                <w:sz w:val="21"/>
                <w:szCs w:val="21"/>
              </w:rPr>
              <w:t>、交货安装地点：南宁市内采购单位指定地点。</w:t>
            </w:r>
          </w:p>
        </w:tc>
      </w:tr>
      <w:tr w14:paraId="5613BE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3" w:type="dxa"/>
            <w:noWrap w:val="0"/>
            <w:vAlign w:val="top"/>
          </w:tcPr>
          <w:p w14:paraId="7BC7BFB3">
            <w:pPr>
              <w:spacing w:line="480" w:lineRule="auto"/>
              <w:jc w:val="center"/>
              <w:rPr>
                <w:rFonts w:hint="eastAsia" w:ascii="宋体" w:hAnsi="宋体" w:cs="宋体"/>
                <w:sz w:val="21"/>
                <w:szCs w:val="21"/>
              </w:rPr>
            </w:pPr>
            <w:r>
              <w:rPr>
                <w:rFonts w:hint="eastAsia" w:ascii="宋体" w:hAnsi="宋体" w:cs="宋体"/>
                <w:color w:val="auto"/>
                <w:sz w:val="21"/>
                <w:szCs w:val="21"/>
              </w:rPr>
              <w:t>付款方式</w:t>
            </w:r>
          </w:p>
        </w:tc>
        <w:tc>
          <w:tcPr>
            <w:tcW w:w="9027" w:type="dxa"/>
            <w:noWrap w:val="0"/>
            <w:vAlign w:val="top"/>
          </w:tcPr>
          <w:p w14:paraId="14F80ADA">
            <w:pPr>
              <w:spacing w:line="400" w:lineRule="exact"/>
              <w:rPr>
                <w:rFonts w:hint="eastAsia" w:ascii="Times New Roman" w:hAnsi="Times New Roman" w:cs="Times New Roman"/>
                <w:color w:val="auto"/>
                <w:sz w:val="21"/>
                <w:szCs w:val="21"/>
              </w:rPr>
            </w:pPr>
            <w:r>
              <w:rPr>
                <w:rFonts w:hint="eastAsia" w:ascii="Times New Roman" w:hAnsi="Times New Roman" w:eastAsia="宋体" w:cs="Times New Roman"/>
                <w:sz w:val="21"/>
                <w:szCs w:val="21"/>
              </w:rPr>
              <w:t>无预付款，供应商所有货物交货安装调试完毕并验收合格后，采购人凭供应商开具的全额发票，在30个工作日内由采购人一次性支付合同总价（无息）。</w:t>
            </w:r>
            <w:bookmarkStart w:id="0" w:name="_GoBack"/>
            <w:bookmarkEnd w:id="0"/>
          </w:p>
        </w:tc>
      </w:tr>
      <w:tr w14:paraId="64103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613" w:type="dxa"/>
            <w:noWrap w:val="0"/>
            <w:vAlign w:val="top"/>
          </w:tcPr>
          <w:p w14:paraId="2B1D0FB3">
            <w:pPr>
              <w:spacing w:line="480" w:lineRule="auto"/>
              <w:jc w:val="center"/>
              <w:rPr>
                <w:rFonts w:hint="eastAsia" w:ascii="宋体" w:hAnsi="宋体" w:cs="宋体"/>
                <w:sz w:val="21"/>
                <w:szCs w:val="21"/>
              </w:rPr>
            </w:pPr>
            <w:r>
              <w:rPr>
                <w:rFonts w:hint="eastAsia" w:ascii="宋体" w:hAnsi="宋体" w:cs="宋体"/>
                <w:color w:val="auto"/>
                <w:sz w:val="21"/>
                <w:szCs w:val="21"/>
              </w:rPr>
              <w:t>供应</w:t>
            </w:r>
            <w:r>
              <w:rPr>
                <w:rFonts w:hint="eastAsia" w:ascii="宋体" w:hAnsi="宋体" w:cs="宋体"/>
                <w:sz w:val="21"/>
                <w:szCs w:val="21"/>
              </w:rPr>
              <w:t>商资格要求</w:t>
            </w:r>
          </w:p>
        </w:tc>
        <w:tc>
          <w:tcPr>
            <w:tcW w:w="9027" w:type="dxa"/>
            <w:noWrap w:val="0"/>
            <w:vAlign w:val="top"/>
          </w:tcPr>
          <w:p w14:paraId="1C0A1916">
            <w:pPr>
              <w:spacing w:line="400" w:lineRule="exact"/>
              <w:rPr>
                <w:rFonts w:hint="eastAsia" w:ascii="Times New Roman" w:hAnsi="Times New Roman" w:cs="Times New Roman"/>
                <w:color w:val="auto"/>
                <w:sz w:val="21"/>
                <w:szCs w:val="21"/>
                <w:lang w:eastAsia="zh-CN"/>
              </w:rPr>
            </w:pPr>
            <w:r>
              <w:rPr>
                <w:rFonts w:hint="eastAsia" w:ascii="Times New Roman" w:hAnsi="Times New Roman" w:cs="Times New Roman"/>
                <w:color w:val="auto"/>
                <w:sz w:val="21"/>
                <w:szCs w:val="21"/>
              </w:rPr>
              <w:t>国内注册（指按国家有关规定要求注册的）生产或经营本次招标采购货物，具备法人资格的供应商</w:t>
            </w:r>
            <w:r>
              <w:rPr>
                <w:rFonts w:hint="eastAsia" w:ascii="Times New Roman" w:hAnsi="Times New Roman" w:cs="Times New Roman"/>
                <w:color w:val="auto"/>
                <w:sz w:val="21"/>
                <w:szCs w:val="21"/>
                <w:lang w:eastAsia="zh-CN"/>
              </w:rPr>
              <w:t>。</w:t>
            </w:r>
          </w:p>
        </w:tc>
      </w:tr>
      <w:tr w14:paraId="3B9EA6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3" w:type="dxa"/>
            <w:noWrap w:val="0"/>
            <w:vAlign w:val="top"/>
          </w:tcPr>
          <w:p w14:paraId="59462AC9">
            <w:pPr>
              <w:spacing w:line="720" w:lineRule="auto"/>
              <w:jc w:val="center"/>
              <w:rPr>
                <w:rFonts w:hint="eastAsia" w:ascii="宋体" w:hAnsi="宋体" w:cs="宋体"/>
                <w:sz w:val="21"/>
                <w:szCs w:val="21"/>
              </w:rPr>
            </w:pPr>
            <w:r>
              <w:rPr>
                <w:rFonts w:hint="eastAsia" w:ascii="宋体" w:hAnsi="宋体" w:cs="宋体"/>
                <w:color w:val="auto"/>
                <w:sz w:val="21"/>
                <w:szCs w:val="21"/>
              </w:rPr>
              <w:t>其他要求</w:t>
            </w:r>
          </w:p>
        </w:tc>
        <w:tc>
          <w:tcPr>
            <w:tcW w:w="9027" w:type="dxa"/>
            <w:noWrap w:val="0"/>
            <w:vAlign w:val="top"/>
          </w:tcPr>
          <w:p w14:paraId="79DEDC15">
            <w:pPr>
              <w:spacing w:line="400" w:lineRule="exact"/>
              <w:rPr>
                <w:bCs/>
                <w:color w:val="auto"/>
                <w:sz w:val="21"/>
                <w:szCs w:val="21"/>
              </w:rPr>
            </w:pPr>
            <w:r>
              <w:rPr>
                <w:color w:val="auto"/>
                <w:sz w:val="21"/>
                <w:szCs w:val="21"/>
              </w:rPr>
              <w:t>1</w:t>
            </w:r>
            <w:r>
              <w:rPr>
                <w:rFonts w:hint="eastAsia"/>
                <w:color w:val="auto"/>
                <w:sz w:val="21"/>
                <w:szCs w:val="21"/>
              </w:rPr>
              <w:t>、投标报价必须包括货物、随配附件、备品备件、工具、运抵指定交货地点安装、调试的各种费用和售后服务、税金及其他所有成本费用的总和。</w:t>
            </w:r>
          </w:p>
          <w:p w14:paraId="4B127E48">
            <w:pPr>
              <w:spacing w:line="400" w:lineRule="exact"/>
              <w:rPr>
                <w:bCs/>
                <w:color w:val="auto"/>
                <w:sz w:val="21"/>
                <w:szCs w:val="21"/>
              </w:rPr>
            </w:pPr>
            <w:r>
              <w:rPr>
                <w:color w:val="auto"/>
                <w:sz w:val="21"/>
                <w:szCs w:val="21"/>
              </w:rPr>
              <w:t>2</w:t>
            </w:r>
            <w:r>
              <w:rPr>
                <w:rFonts w:hint="eastAsia"/>
                <w:color w:val="auto"/>
                <w:sz w:val="21"/>
                <w:szCs w:val="21"/>
              </w:rPr>
              <w:t>、投标时应提供投标产品的中文性能参数指标彩页（含技术参数）或说明书（或技术白皮书）和产品详细配置清单（含技术参数），以供评审时核对。</w:t>
            </w:r>
          </w:p>
          <w:p w14:paraId="3D79BCC1">
            <w:pPr>
              <w:widowControl/>
              <w:spacing w:line="360" w:lineRule="exact"/>
              <w:jc w:val="left"/>
              <w:rPr>
                <w:color w:val="auto"/>
                <w:sz w:val="21"/>
                <w:szCs w:val="21"/>
              </w:rPr>
            </w:pPr>
            <w:r>
              <w:rPr>
                <w:color w:val="auto"/>
                <w:sz w:val="21"/>
                <w:szCs w:val="21"/>
              </w:rPr>
              <w:t>3</w:t>
            </w:r>
            <w:r>
              <w:rPr>
                <w:rFonts w:hint="eastAsia"/>
                <w:color w:val="auto"/>
                <w:sz w:val="21"/>
                <w:szCs w:val="21"/>
              </w:rPr>
              <w:t>、投标时请提供售后服务承诺书：明确保修期、故障响应时间、培训时间、售后服务技术人员名单和联系方式、保修期限外零配件若损坏，提供零配件优惠服务方案等。</w:t>
            </w:r>
          </w:p>
          <w:p w14:paraId="6C229910">
            <w:pPr>
              <w:widowControl/>
              <w:spacing w:line="360" w:lineRule="exact"/>
              <w:jc w:val="left"/>
              <w:rPr>
                <w:color w:val="auto"/>
                <w:sz w:val="21"/>
                <w:szCs w:val="21"/>
              </w:rPr>
            </w:pPr>
            <w:r>
              <w:rPr>
                <w:color w:val="auto"/>
                <w:sz w:val="21"/>
                <w:szCs w:val="21"/>
              </w:rPr>
              <w:t>4</w:t>
            </w:r>
            <w:r>
              <w:rPr>
                <w:rFonts w:hint="eastAsia"/>
                <w:color w:val="auto"/>
                <w:sz w:val="21"/>
                <w:szCs w:val="21"/>
              </w:rPr>
              <w:t>、投标人必须承诺设备</w:t>
            </w:r>
            <w:r>
              <w:rPr>
                <w:rFonts w:hint="eastAsia"/>
                <w:color w:val="auto"/>
                <w:sz w:val="21"/>
                <w:szCs w:val="21"/>
                <w:lang w:val="en-US" w:eastAsia="zh-CN"/>
              </w:rPr>
              <w:t>配件</w:t>
            </w:r>
            <w:r>
              <w:rPr>
                <w:rFonts w:hint="eastAsia"/>
                <w:color w:val="auto"/>
                <w:sz w:val="21"/>
                <w:szCs w:val="21"/>
              </w:rPr>
              <w:t>验收合格后免费对采购人的使用人员进行操作及相关知识的培训，并确保设备有</w:t>
            </w:r>
            <w:r>
              <w:rPr>
                <w:color w:val="auto"/>
                <w:sz w:val="21"/>
                <w:szCs w:val="21"/>
              </w:rPr>
              <w:t>1</w:t>
            </w:r>
            <w:r>
              <w:rPr>
                <w:rFonts w:hint="eastAsia"/>
                <w:color w:val="auto"/>
                <w:sz w:val="21"/>
                <w:szCs w:val="21"/>
              </w:rPr>
              <w:t>～</w:t>
            </w:r>
            <w:r>
              <w:rPr>
                <w:color w:val="auto"/>
                <w:sz w:val="21"/>
                <w:szCs w:val="21"/>
              </w:rPr>
              <w:t>2</w:t>
            </w:r>
            <w:r>
              <w:rPr>
                <w:rFonts w:hint="eastAsia"/>
                <w:color w:val="auto"/>
                <w:sz w:val="21"/>
                <w:szCs w:val="21"/>
              </w:rPr>
              <w:t>人能熟练使用设备</w:t>
            </w:r>
            <w:r>
              <w:rPr>
                <w:rFonts w:hint="eastAsia"/>
                <w:color w:val="auto"/>
                <w:sz w:val="21"/>
                <w:szCs w:val="21"/>
                <w:lang w:val="en-US" w:eastAsia="zh-CN"/>
              </w:rPr>
              <w:t>配件</w:t>
            </w:r>
            <w:r>
              <w:rPr>
                <w:rFonts w:hint="eastAsia"/>
                <w:color w:val="auto"/>
                <w:sz w:val="21"/>
                <w:szCs w:val="21"/>
              </w:rPr>
              <w:t>，并能排除简单的软硬件故障。</w:t>
            </w:r>
          </w:p>
          <w:p w14:paraId="5127265F">
            <w:pPr>
              <w:widowControl/>
              <w:spacing w:line="360" w:lineRule="exact"/>
              <w:jc w:val="left"/>
              <w:rPr>
                <w:color w:val="auto"/>
                <w:sz w:val="21"/>
                <w:szCs w:val="21"/>
              </w:rPr>
            </w:pPr>
            <w:r>
              <w:rPr>
                <w:color w:val="auto"/>
                <w:sz w:val="21"/>
                <w:szCs w:val="21"/>
              </w:rPr>
              <w:t>5</w:t>
            </w:r>
            <w:r>
              <w:rPr>
                <w:rFonts w:hint="eastAsia"/>
                <w:color w:val="auto"/>
                <w:sz w:val="21"/>
                <w:szCs w:val="21"/>
              </w:rPr>
              <w:t>、设备必须是全新、完整、未使用过的产品；设备到货后，供货商和购买方应在现场进行清点；清点过程中如果发现因包装或运输不当引起的仪器外观或内部的损坏，供货商应负责更换；若发现错发</w:t>
            </w:r>
            <w:r>
              <w:rPr>
                <w:color w:val="auto"/>
                <w:sz w:val="21"/>
                <w:szCs w:val="21"/>
              </w:rPr>
              <w:t>/</w:t>
            </w:r>
            <w:r>
              <w:rPr>
                <w:rFonts w:hint="eastAsia"/>
                <w:color w:val="auto"/>
                <w:sz w:val="21"/>
                <w:szCs w:val="21"/>
              </w:rPr>
              <w:t>漏发情况，供货商应负责更换和补发。</w:t>
            </w:r>
          </w:p>
          <w:p w14:paraId="4F0DDF75">
            <w:pPr>
              <w:widowControl/>
              <w:spacing w:line="360" w:lineRule="exact"/>
              <w:jc w:val="left"/>
              <w:rPr>
                <w:rFonts w:hint="eastAsia"/>
                <w:kern w:val="0"/>
                <w:sz w:val="24"/>
                <w:szCs w:val="24"/>
              </w:rPr>
            </w:pPr>
            <w:r>
              <w:rPr>
                <w:color w:val="auto"/>
                <w:sz w:val="21"/>
                <w:szCs w:val="21"/>
              </w:rPr>
              <w:t>6</w:t>
            </w:r>
            <w:r>
              <w:rPr>
                <w:rFonts w:hint="eastAsia"/>
                <w:color w:val="auto"/>
                <w:sz w:val="21"/>
                <w:szCs w:val="21"/>
              </w:rPr>
              <w:t>、安装标准及验收标准：符合我国国家有关技术规范和技术标准；设备安装后，医院按国际和国家标准及厂方标准进行质量验收；卖方应向买方提供详细的验收收标准。</w:t>
            </w:r>
          </w:p>
        </w:tc>
      </w:tr>
    </w:tbl>
    <w:p w14:paraId="11884F6E">
      <w:pPr>
        <w:pStyle w:val="5"/>
        <w:snapToGrid w:val="0"/>
        <w:spacing w:before="120" w:after="120"/>
        <w:jc w:val="center"/>
        <w:outlineLvl w:val="0"/>
        <w:rPr>
          <w:rFonts w:hint="eastAsia" w:hAnsi="宋体"/>
          <w:b/>
          <w:color w:val="auto"/>
          <w:sz w:val="44"/>
          <w:szCs w:val="44"/>
          <w:highlight w:val="none"/>
        </w:rPr>
      </w:pPr>
    </w:p>
    <w:p w14:paraId="4776D888"/>
    <w:sectPr>
      <w:headerReference r:id="rId3" w:type="default"/>
      <w:footerReference r:id="rId4" w:type="default"/>
      <w:footerReference r:id="rId5" w:type="even"/>
      <w:pgSz w:w="11906" w:h="16838"/>
      <w:pgMar w:top="1134" w:right="1134" w:bottom="1134" w:left="1134" w:header="851" w:footer="992" w:gutter="0"/>
      <w:pgNumType w:start="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345793">
    <w:pPr>
      <w:pStyle w:val="6"/>
      <w:framePr w:wrap="around" w:vAnchor="text" w:hAnchor="margin" w:xAlign="center" w:y="1"/>
      <w:rPr>
        <w:rStyle w:val="12"/>
      </w:rPr>
    </w:pPr>
    <w:r>
      <w:fldChar w:fldCharType="begin"/>
    </w:r>
    <w:r>
      <w:rPr>
        <w:rStyle w:val="12"/>
      </w:rPr>
      <w:instrText xml:space="preserve">PAGE  </w:instrText>
    </w:r>
    <w:r>
      <w:fldChar w:fldCharType="separate"/>
    </w:r>
    <w:r>
      <w:rPr>
        <w:rStyle w:val="12"/>
      </w:rPr>
      <w:t>21</w:t>
    </w:r>
    <w:r>
      <w:fldChar w:fldCharType="end"/>
    </w:r>
  </w:p>
  <w:p w14:paraId="04E712C7">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2DDC12">
    <w:pPr>
      <w:pStyle w:val="6"/>
      <w:framePr w:wrap="around" w:vAnchor="text" w:hAnchor="margin" w:xAlign="center" w:y="1"/>
      <w:rPr>
        <w:rStyle w:val="12"/>
      </w:rPr>
    </w:pPr>
    <w:r>
      <w:fldChar w:fldCharType="begin"/>
    </w:r>
    <w:r>
      <w:rPr>
        <w:rStyle w:val="12"/>
      </w:rPr>
      <w:instrText xml:space="preserve">PAGE  </w:instrText>
    </w:r>
    <w:r>
      <w:fldChar w:fldCharType="end"/>
    </w:r>
  </w:p>
  <w:p w14:paraId="1EA8BE27">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FC0CAD">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FhYzkwMDY5Mjk5NzU0NzQyYjc0NzIyMDdiYjFlYmYifQ=="/>
  </w:docVars>
  <w:rsids>
    <w:rsidRoot w:val="2F813630"/>
    <w:rsid w:val="09CC4DA2"/>
    <w:rsid w:val="1DC701B6"/>
    <w:rsid w:val="26AA4F51"/>
    <w:rsid w:val="2F813630"/>
    <w:rsid w:val="34920629"/>
    <w:rsid w:val="4FDD5B0E"/>
    <w:rsid w:val="622B2B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outlineLvl w:val="0"/>
    </w:pPr>
    <w:rPr>
      <w:b/>
      <w:bCs/>
      <w:kern w:val="44"/>
      <w:szCs w:val="44"/>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pPr>
    <w:rPr>
      <w:szCs w:val="20"/>
    </w:rPr>
  </w:style>
  <w:style w:type="paragraph" w:styleId="4">
    <w:name w:val="Body Text"/>
    <w:basedOn w:val="1"/>
    <w:qFormat/>
    <w:uiPriority w:val="0"/>
    <w:pPr>
      <w:spacing w:line="380" w:lineRule="exact"/>
    </w:pPr>
    <w:rPr>
      <w:sz w:val="24"/>
    </w:rPr>
  </w:style>
  <w:style w:type="paragraph" w:styleId="5">
    <w:name w:val="Plain Text"/>
    <w:basedOn w:val="1"/>
    <w:qFormat/>
    <w:uiPriority w:val="0"/>
    <w:rPr>
      <w:rFonts w:ascii="宋体" w:hAnsi="Courier New" w:cs="Courier New"/>
      <w:szCs w:val="21"/>
    </w:rPr>
  </w:style>
  <w:style w:type="paragraph" w:styleId="6">
    <w:name w:val="footer"/>
    <w:basedOn w:val="1"/>
    <w:qFormat/>
    <w:uiPriority w:val="99"/>
    <w:pPr>
      <w:tabs>
        <w:tab w:val="center" w:pos="4153"/>
        <w:tab w:val="right" w:pos="8306"/>
      </w:tabs>
      <w:snapToGrid w:val="0"/>
      <w:jc w:val="left"/>
    </w:pPr>
    <w:rPr>
      <w:sz w:val="18"/>
      <w:szCs w:val="18"/>
    </w:rPr>
  </w:style>
  <w:style w:type="paragraph" w:styleId="7">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qFormat/>
    <w:uiPriority w:val="39"/>
    <w:pPr>
      <w:spacing w:before="120" w:after="120"/>
      <w:jc w:val="left"/>
    </w:pPr>
    <w:rPr>
      <w:rFonts w:ascii="Calibri" w:hAnsi="Calibri"/>
      <w:b/>
      <w:bCs/>
      <w:caps/>
      <w:sz w:val="20"/>
      <w:szCs w:val="20"/>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page number"/>
    <w:basedOn w:val="11"/>
    <w:qFormat/>
    <w:uiPriority w:val="0"/>
  </w:style>
  <w:style w:type="paragraph" w:customStyle="1" w:styleId="13">
    <w:name w:val="列出段落1"/>
    <w:basedOn w:val="1"/>
    <w:autoRedefine/>
    <w:qFormat/>
    <w:uiPriority w:val="99"/>
    <w:pPr>
      <w:ind w:firstLine="420" w:firstLineChars="200"/>
    </w:pPr>
    <w:rPr>
      <w:rFonts w:ascii="Times New Roman" w:hAnsi="Times New Roman"/>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1270</Words>
  <Characters>1286</Characters>
  <Lines>0</Lines>
  <Paragraphs>0</Paragraphs>
  <TotalTime>0</TotalTime>
  <ScaleCrop>false</ScaleCrop>
  <LinksUpToDate>false</LinksUpToDate>
  <CharactersWithSpaces>1286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2024-11-15T09:48:00Z</dcterms:created>
  <dc:creator>wz</dc:creator>
  <cp:lastModifiedBy>wz</cp:lastModifiedBy>
  <dcterms:modified xsi:type="dcterms:W3CDTF">2025-06-16T03:41:29Z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A594B94CF32745A9AD8865A8DCF620CF_11</vt:lpwstr>
  </property>
  <property fmtid="{D5CDD505-2E9C-101B-9397-08002B2CF9AE}" pid="4" name="KSOTemplateDocerSaveRecord">
    <vt:lpwstr>eyJoZGlkIjoiMTFhYzkwMDY5Mjk5NzU0NzQyYjc0NzIyMDdiYjFlYmYiLCJ1c2VySWQiOiIxMzY3NzQ0NjIxIn0=</vt:lpwstr>
  </property>
</Properties>
</file>